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6"/>
        </w:rPr>
        <w:t>DOCUMENTO DE PRUEBA PARA JURISAPP</w:t>
      </w:r>
    </w:p>
    <w:p>
      <w:pPr>
        <w:jc w:val="center"/>
      </w:pPr>
      <w:r>
        <w:rPr>
          <w:i/>
          <w:sz w:val="22"/>
        </w:rPr>
        <w:t>Acta ficticia de prestación de servicios y obligaciones pendientes</w:t>
      </w:r>
    </w:p>
    <w:p>
      <w:r>
        <w:rPr>
          <w:b/>
        </w:rPr>
        <w:t xml:space="preserve">Aviso: </w:t>
      </w:r>
      <w:r>
        <w:t>este documento es completamente ficticio y fue creado solo para probar lectura, extracción y análisis de documentos en una aplicación. No debe usarse como contrato real.</w:t>
      </w:r>
    </w:p>
    <w:tbl>
      <w:tblPr>
        <w:tblStyle w:val="TableGrid"/>
        <w:tblW w:type="auto" w:w="0"/>
        <w:jc w:val="center"/>
        <w:tblLook w:firstColumn="1" w:firstRow="1" w:lastColumn="0" w:lastRow="0" w:noHBand="0" w:noVBand="1" w:val="04A0"/>
      </w:tblPr>
      <w:tblGrid>
        <w:gridCol w:w="4896"/>
        <w:gridCol w:w="4896"/>
      </w:tblGrid>
      <w:tr>
        <w:tc>
          <w:tcPr>
            <w:tcW w:type="dxa" w:w="4896"/>
            <w:vAlign w:val="center"/>
            <w:shd w:fill="EDEDED"/>
          </w:tcPr>
          <w:p>
            <w:pPr>
              <w:spacing w:after="40"/>
            </w:pPr>
            <w:r/>
            <w:r>
              <w:rPr>
                <w:b/>
              </w:rPr>
              <w:t>Tipo de documento</w:t>
            </w:r>
          </w:p>
        </w:tc>
        <w:tc>
          <w:tcPr>
            <w:tcW w:type="dxa" w:w="4896"/>
            <w:vAlign w:val="center"/>
          </w:tcPr>
          <w:p>
            <w:pPr>
              <w:spacing w:after="40"/>
            </w:pPr>
            <w:r/>
            <w:r>
              <w:rPr>
                <w:b w:val="0"/>
              </w:rPr>
              <w:t>Acta / acuerdo simple ficticio</w:t>
            </w:r>
          </w:p>
        </w:tc>
      </w:tr>
      <w:tr>
        <w:tc>
          <w:tcPr>
            <w:tcW w:type="dxa" w:w="4896"/>
            <w:vAlign w:val="center"/>
            <w:shd w:fill="EDEDED"/>
          </w:tcPr>
          <w:p>
            <w:pPr>
              <w:spacing w:after="40"/>
            </w:pPr>
            <w:r/>
            <w:r>
              <w:rPr>
                <w:b/>
              </w:rPr>
              <w:t>Fecha de emisión</w:t>
            </w:r>
          </w:p>
        </w:tc>
        <w:tc>
          <w:tcPr>
            <w:tcW w:type="dxa" w:w="4896"/>
            <w:vAlign w:val="center"/>
          </w:tcPr>
          <w:p>
            <w:pPr>
              <w:spacing w:after="40"/>
            </w:pPr>
            <w:r/>
            <w:r>
              <w:rPr>
                <w:b w:val="0"/>
              </w:rPr>
              <w:t>15 de mayo de 2026</w:t>
            </w:r>
          </w:p>
        </w:tc>
      </w:tr>
      <w:tr>
        <w:tc>
          <w:tcPr>
            <w:tcW w:type="dxa" w:w="4896"/>
            <w:vAlign w:val="center"/>
            <w:shd w:fill="EDEDED"/>
          </w:tcPr>
          <w:p>
            <w:pPr>
              <w:spacing w:after="40"/>
            </w:pPr>
            <w:r/>
            <w:r>
              <w:rPr>
                <w:b/>
              </w:rPr>
              <w:t>Lugar</w:t>
            </w:r>
          </w:p>
        </w:tc>
        <w:tc>
          <w:tcPr>
            <w:tcW w:type="dxa" w:w="4896"/>
            <w:vAlign w:val="center"/>
          </w:tcPr>
          <w:p>
            <w:pPr>
              <w:spacing w:after="40"/>
            </w:pPr>
            <w:r/>
            <w:r>
              <w:rPr>
                <w:b w:val="0"/>
              </w:rPr>
              <w:t>Rosario, Provincia de Santa Fe, Argentina</w:t>
            </w:r>
          </w:p>
        </w:tc>
      </w:tr>
      <w:tr>
        <w:tc>
          <w:tcPr>
            <w:tcW w:type="dxa" w:w="4896"/>
            <w:vAlign w:val="center"/>
            <w:shd w:fill="EDEDED"/>
          </w:tcPr>
          <w:p>
            <w:pPr>
              <w:spacing w:after="40"/>
            </w:pPr>
            <w:r/>
            <w:r>
              <w:rPr>
                <w:b/>
              </w:rPr>
              <w:t>Número interno</w:t>
            </w:r>
          </w:p>
        </w:tc>
        <w:tc>
          <w:tcPr>
            <w:tcW w:type="dxa" w:w="4896"/>
            <w:vAlign w:val="center"/>
          </w:tcPr>
          <w:p>
            <w:pPr>
              <w:spacing w:after="40"/>
            </w:pPr>
            <w:r/>
            <w:r>
              <w:rPr>
                <w:b w:val="0"/>
              </w:rPr>
              <w:t>TEST-JURISAPP-001</w:t>
            </w:r>
          </w:p>
        </w:tc>
      </w:tr>
      <w:tr>
        <w:tc>
          <w:tcPr>
            <w:tcW w:type="dxa" w:w="4896"/>
            <w:vAlign w:val="center"/>
            <w:shd w:fill="EDEDED"/>
          </w:tcPr>
          <w:p>
            <w:pPr>
              <w:spacing w:after="40"/>
            </w:pPr>
            <w:r/>
            <w:r>
              <w:rPr>
                <w:b/>
              </w:rPr>
              <w:t>Estado del documento</w:t>
            </w:r>
          </w:p>
        </w:tc>
        <w:tc>
          <w:tcPr>
            <w:tcW w:type="dxa" w:w="4896"/>
            <w:vAlign w:val="center"/>
          </w:tcPr>
          <w:p>
            <w:pPr>
              <w:spacing w:after="40"/>
            </w:pPr>
            <w:r/>
            <w:r>
              <w:rPr>
                <w:b w:val="0"/>
              </w:rPr>
              <w:t>Borrador sin firmas</w:t>
            </w:r>
          </w:p>
        </w:tc>
      </w:tr>
    </w:tbl>
    <w:p>
      <w:pPr>
        <w:pStyle w:val="Heading1"/>
        <w:spacing w:before="200" w:after="80"/>
      </w:pPr>
      <w:r>
        <w:t>1. Partes intervinientes</w:t>
      </w:r>
    </w:p>
    <w:p>
      <w:r>
        <w:t xml:space="preserve">Por una parte, </w:t>
      </w:r>
      <w:r>
        <w:rPr>
          <w:b/>
        </w:rPr>
        <w:t>Estudio Jurídico Ficticio S.R.L.</w:t>
      </w:r>
      <w:r>
        <w:t>, con domicilio declarado en calle Córdoba 1234, Rosario, Santa Fe, representado en este acto por la Dra. Laura Méndez, DNI 31.222.111.</w:t>
      </w:r>
    </w:p>
    <w:p>
      <w:r>
        <w:t xml:space="preserve">Por la otra parte, </w:t>
      </w:r>
      <w:r>
        <w:rPr>
          <w:b/>
        </w:rPr>
        <w:t>Cliente de Prueba S.A.</w:t>
      </w:r>
      <w:r>
        <w:t>, con domicilio declarado en Av. Pellegrini 456, Rosario, Santa Fe, representada por el Sr. Martín Torres, DNI 28.555.333. El CUIT de la empresa no fue consignado en el documento.</w:t>
      </w:r>
    </w:p>
    <w:p>
      <w:pPr>
        <w:pStyle w:val="Heading1"/>
        <w:spacing w:before="200" w:after="80"/>
      </w:pPr>
      <w:r>
        <w:t>2. Objeto</w:t>
      </w:r>
    </w:p>
    <w:p>
      <w:r>
        <w:t>Las partes manifiestan que el objeto del presente documento es dejar constancia de una prestación de servicios de análisis documental, revisión de antecedentes y elaboración de un informe jurídico preliminar sobre documentación comercial y laboral aportada por Cliente de Prueba S.A.</w:t>
      </w:r>
    </w:p>
    <w:p>
      <w:pPr>
        <w:pStyle w:val="Heading1"/>
        <w:spacing w:before="200" w:after="80"/>
      </w:pPr>
      <w:r>
        <w:t>3. Honorarios y forma de pago</w:t>
      </w:r>
    </w:p>
    <w:p>
      <w:r>
        <w:t>Cliente de Prueba S.A. abonará al Estudio Jurídico Ficticio S.R.L. la suma total de ARS 450.000 por los servicios indicados. El pago se realizará en tres cuotas iguales de ARS 150.000 cada una.</w:t>
      </w:r>
    </w:p>
    <w:tbl>
      <w:tblPr>
        <w:tblStyle w:val="TableGrid"/>
        <w:tblW w:type="auto" w:w="0"/>
        <w:jc w:val="center"/>
        <w:tblLook w:firstColumn="1" w:firstRow="1" w:lastColumn="0" w:lastRow="0" w:noHBand="0" w:noVBand="1" w:val="04A0"/>
      </w:tblPr>
      <w:tblGrid>
        <w:gridCol w:w="2448"/>
        <w:gridCol w:w="2448"/>
        <w:gridCol w:w="2448"/>
        <w:gridCol w:w="2448"/>
      </w:tblGrid>
      <w:tr>
        <w:tc>
          <w:tcPr>
            <w:tcW w:type="dxa" w:w="2448"/>
            <w:vAlign w:val="center"/>
            <w:shd w:fill="D9EAF7"/>
          </w:tcPr>
          <w:p>
            <w:pPr>
              <w:spacing w:after="40"/>
            </w:pPr>
            <w:r/>
            <w:r>
              <w:rPr>
                <w:b/>
              </w:rPr>
              <w:t>Cuota</w:t>
            </w:r>
          </w:p>
        </w:tc>
        <w:tc>
          <w:tcPr>
            <w:tcW w:type="dxa" w:w="2448"/>
            <w:vAlign w:val="center"/>
            <w:shd w:fill="D9EAF7"/>
          </w:tcPr>
          <w:p>
            <w:pPr>
              <w:spacing w:after="40"/>
            </w:pPr>
            <w:r/>
            <w:r>
              <w:rPr>
                <w:b/>
              </w:rPr>
              <w:t>Monto</w:t>
            </w:r>
          </w:p>
        </w:tc>
        <w:tc>
          <w:tcPr>
            <w:tcW w:type="dxa" w:w="2448"/>
            <w:vAlign w:val="center"/>
            <w:shd w:fill="D9EAF7"/>
          </w:tcPr>
          <w:p>
            <w:pPr>
              <w:spacing w:after="40"/>
            </w:pPr>
            <w:r/>
            <w:r>
              <w:rPr>
                <w:b/>
              </w:rPr>
              <w:t>Vencimiento</w:t>
            </w:r>
          </w:p>
        </w:tc>
        <w:tc>
          <w:tcPr>
            <w:tcW w:type="dxa" w:w="2448"/>
            <w:vAlign w:val="center"/>
            <w:shd w:fill="D9EAF7"/>
          </w:tcPr>
          <w:p>
            <w:pPr>
              <w:spacing w:after="40"/>
            </w:pPr>
            <w:r/>
            <w:r>
              <w:rPr>
                <w:b/>
              </w:rPr>
              <w:t>Estado</w:t>
            </w:r>
          </w:p>
        </w:tc>
      </w:tr>
      <w:tr>
        <w:tc>
          <w:tcPr>
            <w:tcW w:type="dxa" w:w="2448"/>
            <w:vAlign w:val="center"/>
          </w:tcPr>
          <w:p>
            <w:pPr>
              <w:spacing w:after="40"/>
            </w:pPr>
            <w:r/>
            <w:r>
              <w:rPr>
                <w:b w:val="0"/>
              </w:rPr>
              <w:t>1</w:t>
            </w:r>
          </w:p>
        </w:tc>
        <w:tc>
          <w:tcPr>
            <w:tcW w:type="dxa" w:w="2448"/>
            <w:vAlign w:val="center"/>
          </w:tcPr>
          <w:p>
            <w:pPr>
              <w:spacing w:after="40"/>
            </w:pPr>
            <w:r/>
            <w:r>
              <w:rPr>
                <w:b w:val="0"/>
              </w:rPr>
              <w:t>ARS 150.000</w:t>
            </w:r>
          </w:p>
        </w:tc>
        <w:tc>
          <w:tcPr>
            <w:tcW w:type="dxa" w:w="2448"/>
            <w:vAlign w:val="center"/>
          </w:tcPr>
          <w:p>
            <w:pPr>
              <w:spacing w:after="40"/>
            </w:pPr>
            <w:r/>
            <w:r>
              <w:rPr>
                <w:b w:val="0"/>
              </w:rPr>
              <w:t>10/06/2026</w:t>
            </w:r>
          </w:p>
        </w:tc>
        <w:tc>
          <w:tcPr>
            <w:tcW w:type="dxa" w:w="2448"/>
            <w:vAlign w:val="center"/>
          </w:tcPr>
          <w:p>
            <w:pPr>
              <w:spacing w:after="40"/>
            </w:pPr>
            <w:r/>
            <w:r>
              <w:rPr>
                <w:b w:val="0"/>
              </w:rPr>
              <w:t>Pendiente</w:t>
            </w:r>
          </w:p>
        </w:tc>
      </w:tr>
      <w:tr>
        <w:tc>
          <w:tcPr>
            <w:tcW w:type="dxa" w:w="2448"/>
            <w:vAlign w:val="center"/>
          </w:tcPr>
          <w:p>
            <w:pPr>
              <w:spacing w:after="40"/>
            </w:pPr>
            <w:r/>
            <w:r>
              <w:rPr>
                <w:b w:val="0"/>
              </w:rPr>
              <w:t>2</w:t>
            </w:r>
          </w:p>
        </w:tc>
        <w:tc>
          <w:tcPr>
            <w:tcW w:type="dxa" w:w="2448"/>
            <w:vAlign w:val="center"/>
          </w:tcPr>
          <w:p>
            <w:pPr>
              <w:spacing w:after="40"/>
            </w:pPr>
            <w:r/>
            <w:r>
              <w:rPr>
                <w:b w:val="0"/>
              </w:rPr>
              <w:t>ARS 150.000</w:t>
            </w:r>
          </w:p>
        </w:tc>
        <w:tc>
          <w:tcPr>
            <w:tcW w:type="dxa" w:w="2448"/>
            <w:vAlign w:val="center"/>
          </w:tcPr>
          <w:p>
            <w:pPr>
              <w:spacing w:after="40"/>
            </w:pPr>
            <w:r/>
            <w:r>
              <w:rPr>
                <w:b w:val="0"/>
              </w:rPr>
              <w:t>10/07/2026</w:t>
            </w:r>
          </w:p>
        </w:tc>
        <w:tc>
          <w:tcPr>
            <w:tcW w:type="dxa" w:w="2448"/>
            <w:vAlign w:val="center"/>
          </w:tcPr>
          <w:p>
            <w:pPr>
              <w:spacing w:after="40"/>
            </w:pPr>
            <w:r/>
            <w:r>
              <w:rPr>
                <w:b w:val="0"/>
              </w:rPr>
              <w:t>Pendiente</w:t>
            </w:r>
          </w:p>
        </w:tc>
      </w:tr>
      <w:tr>
        <w:tc>
          <w:tcPr>
            <w:tcW w:type="dxa" w:w="2448"/>
            <w:vAlign w:val="center"/>
          </w:tcPr>
          <w:p>
            <w:pPr>
              <w:spacing w:after="40"/>
            </w:pPr>
            <w:r/>
            <w:r>
              <w:rPr>
                <w:b w:val="0"/>
              </w:rPr>
              <w:t>3</w:t>
            </w:r>
          </w:p>
        </w:tc>
        <w:tc>
          <w:tcPr>
            <w:tcW w:type="dxa" w:w="2448"/>
            <w:vAlign w:val="center"/>
          </w:tcPr>
          <w:p>
            <w:pPr>
              <w:spacing w:after="40"/>
            </w:pPr>
            <w:r/>
            <w:r>
              <w:rPr>
                <w:b w:val="0"/>
              </w:rPr>
              <w:t>ARS 150.000</w:t>
            </w:r>
          </w:p>
        </w:tc>
        <w:tc>
          <w:tcPr>
            <w:tcW w:type="dxa" w:w="2448"/>
            <w:vAlign w:val="center"/>
          </w:tcPr>
          <w:p>
            <w:pPr>
              <w:spacing w:after="40"/>
            </w:pPr>
            <w:r/>
            <w:r>
              <w:rPr>
                <w:b w:val="0"/>
              </w:rPr>
              <w:t>10/08/2026</w:t>
            </w:r>
          </w:p>
        </w:tc>
        <w:tc>
          <w:tcPr>
            <w:tcW w:type="dxa" w:w="2448"/>
            <w:vAlign w:val="center"/>
          </w:tcPr>
          <w:p>
            <w:pPr>
              <w:spacing w:after="40"/>
            </w:pPr>
            <w:r/>
            <w:r>
              <w:rPr>
                <w:b w:val="0"/>
              </w:rPr>
              <w:t>Pendiente</w:t>
            </w:r>
          </w:p>
        </w:tc>
      </w:tr>
    </w:tbl>
    <w:p>
      <w:r>
        <w:t>No se especifica si los montos incluyen IVA ni si corresponde aplicar actualización por mora. Esta omisión debe ser detectada como punto ambiguo del documento.</w:t>
      </w:r>
    </w:p>
    <w:p>
      <w:r>
        <w:br w:type="page"/>
      </w:r>
    </w:p>
    <w:p>
      <w:pPr>
        <w:pStyle w:val="Heading1"/>
        <w:spacing w:before="200" w:after="80"/>
      </w:pPr>
      <w:r>
        <w:t>4. Obligaciones principales</w:t>
      </w:r>
    </w:p>
    <w:tbl>
      <w:tblPr>
        <w:tblStyle w:val="TableGrid"/>
        <w:tblW w:type="auto" w:w="0"/>
        <w:jc w:val="center"/>
        <w:tblLook w:firstColumn="1" w:firstRow="1" w:lastColumn="0" w:lastRow="0" w:noHBand="0" w:noVBand="1" w:val="04A0"/>
      </w:tblPr>
      <w:tblGrid>
        <w:gridCol w:w="3264"/>
        <w:gridCol w:w="3264"/>
        <w:gridCol w:w="3264"/>
      </w:tblGrid>
      <w:tr>
        <w:tc>
          <w:tcPr>
            <w:tcW w:type="dxa" w:w="3264"/>
            <w:vAlign w:val="center"/>
            <w:shd w:fill="D9EAD3"/>
          </w:tcPr>
          <w:p>
            <w:pPr>
              <w:spacing w:after="40"/>
            </w:pPr>
            <w:r/>
            <w:r>
              <w:rPr>
                <w:b/>
              </w:rPr>
              <w:t>Parte obligada</w:t>
            </w:r>
          </w:p>
        </w:tc>
        <w:tc>
          <w:tcPr>
            <w:tcW w:type="dxa" w:w="3264"/>
            <w:vAlign w:val="center"/>
            <w:shd w:fill="D9EAD3"/>
          </w:tcPr>
          <w:p>
            <w:pPr>
              <w:spacing w:after="40"/>
            </w:pPr>
            <w:r/>
            <w:r>
              <w:rPr>
                <w:b/>
              </w:rPr>
              <w:t>Obligación</w:t>
            </w:r>
          </w:p>
        </w:tc>
        <w:tc>
          <w:tcPr>
            <w:tcW w:type="dxa" w:w="3264"/>
            <w:vAlign w:val="center"/>
            <w:shd w:fill="D9EAD3"/>
          </w:tcPr>
          <w:p>
            <w:pPr>
              <w:spacing w:after="40"/>
            </w:pPr>
            <w:r/>
            <w:r>
              <w:rPr>
                <w:b/>
              </w:rPr>
              <w:t>Fecha límite</w:t>
            </w:r>
          </w:p>
        </w:tc>
      </w:tr>
      <w:tr>
        <w:tc>
          <w:tcPr>
            <w:tcW w:type="dxa" w:w="3264"/>
            <w:vAlign w:val="center"/>
          </w:tcPr>
          <w:p>
            <w:pPr>
              <w:spacing w:after="40"/>
            </w:pPr>
            <w:r/>
            <w:r>
              <w:rPr>
                <w:b w:val="0"/>
              </w:rPr>
              <w:t>Cliente de Prueba S.A.</w:t>
            </w:r>
          </w:p>
        </w:tc>
        <w:tc>
          <w:tcPr>
            <w:tcW w:type="dxa" w:w="3264"/>
            <w:vAlign w:val="center"/>
          </w:tcPr>
          <w:p>
            <w:pPr>
              <w:spacing w:after="40"/>
            </w:pPr>
            <w:r/>
            <w:r>
              <w:rPr>
                <w:b w:val="0"/>
              </w:rPr>
              <w:t>Entregar documentación completa en formato PDF o DOCX.</w:t>
            </w:r>
          </w:p>
        </w:tc>
        <w:tc>
          <w:tcPr>
            <w:tcW w:type="dxa" w:w="3264"/>
            <w:vAlign w:val="center"/>
          </w:tcPr>
          <w:p>
            <w:pPr>
              <w:spacing w:after="40"/>
            </w:pPr>
            <w:r/>
            <w:r>
              <w:rPr>
                <w:b w:val="0"/>
              </w:rPr>
              <w:t>20/05/2026</w:t>
            </w:r>
          </w:p>
        </w:tc>
      </w:tr>
      <w:tr>
        <w:tc>
          <w:tcPr>
            <w:tcW w:type="dxa" w:w="3264"/>
            <w:vAlign w:val="center"/>
          </w:tcPr>
          <w:p>
            <w:pPr>
              <w:spacing w:after="40"/>
            </w:pPr>
            <w:r/>
            <w:r>
              <w:rPr>
                <w:b w:val="0"/>
              </w:rPr>
              <w:t>Estudio Jurídico Ficticio S.R.L.</w:t>
            </w:r>
          </w:p>
        </w:tc>
        <w:tc>
          <w:tcPr>
            <w:tcW w:type="dxa" w:w="3264"/>
            <w:vAlign w:val="center"/>
          </w:tcPr>
          <w:p>
            <w:pPr>
              <w:spacing w:after="40"/>
            </w:pPr>
            <w:r/>
            <w:r>
              <w:rPr>
                <w:b w:val="0"/>
              </w:rPr>
              <w:t>Revisar la documentación recibida y elaborar informe preliminar.</w:t>
            </w:r>
          </w:p>
        </w:tc>
        <w:tc>
          <w:tcPr>
            <w:tcW w:type="dxa" w:w="3264"/>
            <w:vAlign w:val="center"/>
          </w:tcPr>
          <w:p>
            <w:pPr>
              <w:spacing w:after="40"/>
            </w:pPr>
            <w:r/>
            <w:r>
              <w:rPr>
                <w:b w:val="0"/>
              </w:rPr>
              <w:t>30/06/2026</w:t>
            </w:r>
          </w:p>
        </w:tc>
      </w:tr>
      <w:tr>
        <w:tc>
          <w:tcPr>
            <w:tcW w:type="dxa" w:w="3264"/>
            <w:vAlign w:val="center"/>
          </w:tcPr>
          <w:p>
            <w:pPr>
              <w:spacing w:after="40"/>
            </w:pPr>
            <w:r/>
            <w:r>
              <w:rPr>
                <w:b w:val="0"/>
              </w:rPr>
              <w:t>Cliente de Prueba S.A.</w:t>
            </w:r>
          </w:p>
        </w:tc>
        <w:tc>
          <w:tcPr>
            <w:tcW w:type="dxa" w:w="3264"/>
            <w:vAlign w:val="center"/>
          </w:tcPr>
          <w:p>
            <w:pPr>
              <w:spacing w:after="40"/>
            </w:pPr>
            <w:r/>
            <w:r>
              <w:rPr>
                <w:b w:val="0"/>
              </w:rPr>
              <w:t>Informar si existen reclamos laborales pendientes o intimaciones recibidas.</w:t>
            </w:r>
          </w:p>
        </w:tc>
        <w:tc>
          <w:tcPr>
            <w:tcW w:type="dxa" w:w="3264"/>
            <w:vAlign w:val="center"/>
          </w:tcPr>
          <w:p>
            <w:pPr>
              <w:spacing w:after="40"/>
            </w:pPr>
            <w:r/>
            <w:r>
              <w:rPr>
                <w:b w:val="0"/>
              </w:rPr>
              <w:t>25/05/2026</w:t>
            </w:r>
          </w:p>
        </w:tc>
      </w:tr>
      <w:tr>
        <w:tc>
          <w:tcPr>
            <w:tcW w:type="dxa" w:w="3264"/>
            <w:vAlign w:val="center"/>
          </w:tcPr>
          <w:p>
            <w:pPr>
              <w:spacing w:after="40"/>
            </w:pPr>
            <w:r/>
            <w:r>
              <w:rPr>
                <w:b w:val="0"/>
              </w:rPr>
              <w:t>Estudio Jurídico Ficticio S.R.L.</w:t>
            </w:r>
          </w:p>
        </w:tc>
        <w:tc>
          <w:tcPr>
            <w:tcW w:type="dxa" w:w="3264"/>
            <w:vAlign w:val="center"/>
          </w:tcPr>
          <w:p>
            <w:pPr>
              <w:spacing w:after="40"/>
            </w:pPr>
            <w:r/>
            <w:r>
              <w:rPr>
                <w:b w:val="0"/>
              </w:rPr>
              <w:t>Señalar riesgos, faltantes y posibles inconsistencias documentales.</w:t>
            </w:r>
          </w:p>
        </w:tc>
        <w:tc>
          <w:tcPr>
            <w:tcW w:type="dxa" w:w="3264"/>
            <w:vAlign w:val="center"/>
          </w:tcPr>
          <w:p>
            <w:pPr>
              <w:spacing w:after="40"/>
            </w:pPr>
            <w:r/>
            <w:r>
              <w:rPr>
                <w:b w:val="0"/>
              </w:rPr>
              <w:t>30/06/2026</w:t>
            </w:r>
          </w:p>
        </w:tc>
      </w:tr>
    </w:tbl>
    <w:p>
      <w:pPr>
        <w:pStyle w:val="Heading1"/>
        <w:spacing w:before="200" w:after="80"/>
      </w:pPr>
      <w:r>
        <w:t>5. Documentación entregada</w:t>
      </w:r>
    </w:p>
    <w:p>
      <w:pPr>
        <w:pStyle w:val="ListBullet"/>
      </w:pPr>
      <w:r>
        <w:t>Contrato de locación comercial firmado el 12/03/2024.</w:t>
      </w:r>
    </w:p>
    <w:p>
      <w:pPr>
        <w:pStyle w:val="ListBullet"/>
      </w:pPr>
      <w:r>
        <w:t>Cinco recibos de sueldo correspondientes al año 2025.</w:t>
      </w:r>
    </w:p>
    <w:p>
      <w:pPr>
        <w:pStyle w:val="ListBullet"/>
      </w:pPr>
      <w:r>
        <w:t>Intercambio de correos electrónicos entre marzo y abril de 2026.</w:t>
      </w:r>
    </w:p>
    <w:p>
      <w:pPr>
        <w:pStyle w:val="ListBullet"/>
      </w:pPr>
      <w:r>
        <w:t>Factura de servicios N.º 0003-00004567 por ARS 95.000.</w:t>
      </w:r>
    </w:p>
    <w:p>
      <w:pPr>
        <w:pStyle w:val="ListBullet"/>
      </w:pPr>
      <w:r>
        <w:t>Acta interna sin firma de fecha 02/05/2026.</w:t>
      </w:r>
    </w:p>
    <w:p>
      <w:pPr>
        <w:pStyle w:val="Heading1"/>
        <w:spacing w:before="200" w:after="80"/>
      </w:pPr>
      <w:r>
        <w:t>6. Cláusula de confidencialidad</w:t>
      </w:r>
    </w:p>
    <w:p>
      <w:r>
        <w:t>Las partes se comprometen a mantener reserva sobre la información intercambiada, incluyendo datos personales, documentación comercial, antecedentes laborales, estrategias de reclamo y comunicaciones internas. La obligación de confidencialidad se mantendrá durante dos años desde la fecha de emisión del presente documento.</w:t>
      </w:r>
    </w:p>
    <w:p>
      <w:pPr>
        <w:pStyle w:val="Heading1"/>
        <w:spacing w:before="200" w:after="80"/>
      </w:pPr>
      <w:r>
        <w:t>7. Incumplimiento y rescisión</w:t>
      </w:r>
    </w:p>
    <w:p>
      <w:r>
        <w:t>Si una de las partes incumple una obligación esencial, la parte cumplidora podrá intimar por escrito para que se subsane el incumplimiento dentro del plazo de cinco días hábiles. Si el incumplimiento persiste, podrá rescindirse el acuerdo sin perjuicio de los daños que pudieran corresponder.</w:t>
      </w:r>
    </w:p>
    <w:p>
      <w:pPr>
        <w:pStyle w:val="Heading1"/>
        <w:spacing w:before="200" w:after="80"/>
      </w:pPr>
      <w:r>
        <w:t>8. Puntos a revisar</w:t>
      </w:r>
    </w:p>
    <w:p>
      <w:pPr>
        <w:pStyle w:val="ListBullet"/>
      </w:pPr>
      <w:r>
        <w:t>El documento no contiene firmas de las partes.</w:t>
      </w:r>
    </w:p>
    <w:p>
      <w:pPr>
        <w:pStyle w:val="ListBullet"/>
      </w:pPr>
      <w:r>
        <w:t>El CUIT de Cliente de Prueba S.A. no fue informado.</w:t>
      </w:r>
    </w:p>
    <w:p>
      <w:pPr>
        <w:pStyle w:val="ListBullet"/>
      </w:pPr>
      <w:r>
        <w:t>No se aclara si los honorarios incluyen IVA.</w:t>
      </w:r>
    </w:p>
    <w:p>
      <w:pPr>
        <w:pStyle w:val="ListBullet"/>
      </w:pPr>
      <w:r>
        <w:t>No se define una jurisdicción específica para resolver conflictos.</w:t>
      </w:r>
    </w:p>
    <w:p>
      <w:pPr>
        <w:pStyle w:val="ListBullet"/>
      </w:pPr>
      <w:r>
        <w:t>La documentación entregada incluye un acta interna sin firma.</w:t>
      </w:r>
    </w:p>
    <w:p>
      <w:pPr>
        <w:pStyle w:val="ListBullet"/>
      </w:pPr>
      <w:r>
        <w:t>No se acompaña poder o autorización del representante de Cliente de Prueba S.A.</w:t>
      </w:r>
    </w:p>
    <w:p>
      <w:pPr>
        <w:pStyle w:val="Heading1"/>
        <w:spacing w:before="200" w:after="80"/>
      </w:pPr>
      <w:r>
        <w:t>9. Cierre</w:t>
      </w:r>
    </w:p>
    <w:p>
      <w:r>
        <w:t>Leído que fue el presente, las partes manifiestan su conformidad preliminar con el contenido, dejando constancia de que se trata de un borrador sujeto a revisión y firma posterior. El documento queda pendiente de revisión final, validación de datos fiscales y firma de ambas partes.</w:t>
      </w:r>
    </w:p>
    <w:sectPr w:rsidR="00FC693F" w:rsidRPr="0006063C" w:rsidSect="00034616">
      <w:footerReference w:type="default" r:id="rId9"/>
      <w:pgSz w:w="12240" w:h="15840"/>
      <w:pgMar w:top="1080" w:right="1224" w:bottom="1080" w:left="12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Documento ficticio para pruebas - JurisApp - TEST-JURISAPP-001</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eastAsia="Arial"/>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eastAsia="Arial"/>
      <w:b/>
      <w:bCs/>
      <w:color w:val="365F91" w:themeColor="accent1" w:themeShade="BF"/>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eastAsia="Arial"/>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eastAsia="Arial"/>
      <w:b/>
      <w:bCs/>
      <w:color w:val="4F81BD" w:themeColor="accent1"/>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