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7" y="0"/>
                              <a:chExt cx="2679700" cy="755999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699" cy="7559999"/>
                                <a:chOff x="4006148" y="0"/>
                                <a:chExt cx="2679698" cy="7559999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4006148" y="0"/>
                                  <a:ext cx="2679675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9" y="0"/>
                                  <a:ext cx="2679697" cy="7559999"/>
                                  <a:chOff x="4002339" y="0"/>
                                  <a:chExt cx="2687316" cy="7559999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002339" y="0"/>
                                    <a:ext cx="2687300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2339" y="0"/>
                                    <a:ext cx="2687316" cy="7559999"/>
                                    <a:chOff x="6976" y="-87"/>
                                    <a:chExt cx="4230" cy="15999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6976" y="-87"/>
                                      <a:ext cx="4224" cy="15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9133" y="-66"/>
                                      <a:ext cx="2073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7808" y="-87"/>
                                      <a:ext cx="1036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6976" y="-50"/>
                                      <a:ext cx="518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Csoft-MinutaDeStatus-070417.docx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Csoft-MinutaDeStatus-070417.docx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17/04/17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completó información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Minuta De Reunión De Trabajo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I.-Asistentes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II.- Agenda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III.- Reporte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Desarrollo Del Proyecto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Informe de Documentación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IV.- Acuerdos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V.- Notas Generales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:06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m5joj4m8d8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24.18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182.27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34.8%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34.8%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555.0" w:type="dxa"/>
        <w:jc w:val="left"/>
        <w:tblInd w:w="-480.99999999999994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35"/>
        <w:gridCol w:w="930"/>
        <w:gridCol w:w="1065"/>
        <w:gridCol w:w="1320"/>
        <w:gridCol w:w="1410"/>
        <w:gridCol w:w="1170"/>
        <w:gridCol w:w="2325"/>
        <w:tblGridChange w:id="0">
          <w:tblGrid>
            <w:gridCol w:w="1335"/>
            <w:gridCol w:w="930"/>
            <w:gridCol w:w="1065"/>
            <w:gridCol w:w="1320"/>
            <w:gridCol w:w="1410"/>
            <w:gridCol w:w="1170"/>
            <w:gridCol w:w="23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2.86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7.49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ddl3co56x6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7483.000000000004" w:type="dxa"/>
        <w:jc w:val="left"/>
        <w:tblInd w:w="59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055"/>
        <w:gridCol w:w="1470"/>
        <w:gridCol w:w="1590"/>
        <w:gridCol w:w="1740"/>
        <w:gridCol w:w="2220"/>
        <w:gridCol w:w="1442"/>
        <w:gridCol w:w="942"/>
        <w:gridCol w:w="1524"/>
        <w:gridCol w:w="1469"/>
        <w:gridCol w:w="1507"/>
        <w:gridCol w:w="1524"/>
        <w:tblGridChange w:id="0">
          <w:tblGrid>
            <w:gridCol w:w="2055"/>
            <w:gridCol w:w="1470"/>
            <w:gridCol w:w="1590"/>
            <w:gridCol w:w="1740"/>
            <w:gridCol w:w="2220"/>
            <w:gridCol w:w="1442"/>
            <w:gridCol w:w="942"/>
            <w:gridCol w:w="1524"/>
            <w:gridCol w:w="1469"/>
            <w:gridCol w:w="1507"/>
            <w:gridCol w:w="1524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 para el Ciclo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Ciclo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Información De Módulos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8ftmn6r600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4130.0" w:type="dxa"/>
        <w:jc w:val="left"/>
        <w:tblInd w:w="59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785"/>
        <w:gridCol w:w="7305"/>
        <w:gridCol w:w="860"/>
        <w:gridCol w:w="560"/>
        <w:gridCol w:w="920"/>
        <w:gridCol w:w="880"/>
        <w:gridCol w:w="900"/>
        <w:gridCol w:w="920"/>
        <w:tblGridChange w:id="0">
          <w:tblGrid>
            <w:gridCol w:w="1785"/>
            <w:gridCol w:w="7305"/>
            <w:gridCol w:w="860"/>
            <w:gridCol w:w="560"/>
            <w:gridCol w:w="920"/>
            <w:gridCol w:w="880"/>
            <w:gridCol w:w="900"/>
            <w:gridCol w:w="920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Módulo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Del Módulo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7.0" w:type="dxa"/>
        <w:jc w:val="left"/>
        <w:tblInd w:w="-115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tratara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realizara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viernes a las 00:00 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tiene problemas en liberarse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apoyará entre todos para tratar de sacar adelante el problema.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trabajará en conjunto si es necesario para poder liberar el módulo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tvwe022l4c5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rdi8ylydb4c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69vobk4bulmw" w:id="14"/>
      <w:bookmarkEnd w:id="1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BRA</w:t>
              <w:br w:type="textWrapping"/>
              <w:t xml:space="preserve">Terminar PM</w:t>
              <w:br w:type="textWrapping"/>
              <w:t xml:space="preserve">Reporte final del ciclo y las revisiones.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Revisiones.</w:t>
              <w:br w:type="textWrapping"/>
              <w:t xml:space="preserve">Módulo de Alta de maestros.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Reporte.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Productividad.</w:t>
              <w:br w:type="textWrapping"/>
              <w:t xml:space="preserve">Mejorar el formato de PM.</w:t>
              <w:br w:type="textWrapping"/>
              <w:t xml:space="preserve">Tabla de resumen</w:t>
              <w:br w:type="textWrapping"/>
              <w:t xml:space="preserve">desviación entre líneas por módulo y persona.</w:t>
              <w:br w:type="textWrapping"/>
              <w:t xml:space="preserve">Ayudar a JAGB en su módulo.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Revisiones, y posiblemente ayuda a 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pruebas, PM y liberación de módulo.</w:t>
              <w:br w:type="textWrapping"/>
              <w:t xml:space="preserve">ya está hecha la codificación junto con compilación.</w:t>
              <w:br w:type="textWrapping"/>
              <w:t xml:space="preserve">Reporte del ciclo final.</w:t>
              <w:br w:type="textWrapping"/>
              <w:t xml:space="preserve">Añadir valores de cada ciclo.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Ayudar en caso de que se requiere a hacer revisiones.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f4202q4npb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ng6jfo7qsp1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anexa un nuevo Error que sera “Error de contenido, 130”.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Ciclo 2 Che.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del ciclo 1 la hará RMM.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 convertirla a .db BRA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los menús: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- Alumnos.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- PLANES.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- GENERAL.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- MAESTROS.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- MATERIAS.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 PLANES- BRA.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Baja de alumnos - JAGB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Baja Maestros - RMM.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 Maestros - GVV.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 Alumnos JAGC.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CHECAR LANZAMIENTO Y ESTRATEGIAS (Revisar los documentos para ver si tiene actualización).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CONFIGURACIÓN.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OBJETIVOS Y DUDAS DEL PROYECTO A LA MAESTRA ES TODO.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los documentos para ver si tiene actualización.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Porcentajes actualizará BRAN.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Autoevaluación y coevaluación de rol, ingenieros.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salió mal?, ¿cómo está el objetivo? y como mejorar para el siguiente ciclo.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 segundo, revisión de la agenda.</w:t>
        <w:br w:type="textWrapping"/>
        <w:br w:type="textWrapping"/>
        <w:t xml:space="preserve">Planeación.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Realizar un gráfico de lo planeado vs lo real de cada etapa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Duración: 11:03 minutos</w:t>
        <w:br w:type="textWrapping"/>
        <w:br w:type="textWrapping"/>
        <w:t xml:space="preserve">Soporte.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Colocar el incremento de documentos en el gráfico del BaseLine</w:t>
        <w:br w:type="textWrapping"/>
        <w:t xml:space="preserve">Duración: 8:23 minutos-</w:t>
        <w:br w:type="textWrapping"/>
        <w:br w:type="textWrapping"/>
        <w:t xml:space="preserve">Calidad.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10 peso por llenar el documento de Brenda.</w:t>
        <w:br w:type="textWrapping"/>
        <w:t xml:space="preserve">Densidad de defectos.</w:t>
        <w:br w:type="textWrapping"/>
        <w:t xml:space="preserve">Tipo de defectos únicamente en codificación.</w:t>
        <w:br w:type="textWrapping"/>
        <w:t xml:space="preserve">Volver a hacer los cálculos de cada quien en codificación y compilación.</w:t>
        <w:br w:type="textWrapping"/>
        <w:t xml:space="preserve">Errores de tipos 10 no tomarlo en cuenta para la etapa de PSP</w:t>
        <w:br w:type="textWrapping"/>
        <w:t xml:space="preserve">Se realizarán documentos de cómo llenar tablas que propondrá BRA.</w:t>
        <w:br w:type="textWrapping"/>
        <w:t xml:space="preserve">Aplicar multas.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Duración: 7:07 minutos.</w:t>
        <w:br w:type="textWrapping"/>
        <w:br w:type="textWrapping"/>
        <w:t xml:space="preserve">Desarrollo.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En total de horas del proyecto la productividad y no por módulo.</w:t>
        <w:br w:type="textWrapping"/>
        <w:t xml:space="preserve">Falta un documento o hoja de excel global de todos los datos del ciclo.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Duración: 14:00 minutos.</w:t>
        <w:br w:type="textWrapping"/>
        <w:br w:type="textWrapping"/>
        <w:t xml:space="preserve">Dudas</w:t>
        <w:br w:type="textWrapping"/>
        <w:br w:type="textWrapping"/>
        <w:t xml:space="preserve">Se anexa un nuevo Error que sera “Error de contenido, 130”.</w:t>
        <w:br w:type="textWrapping"/>
        <w:t xml:space="preserve">1:15.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1"/>
                            <a:chOff x="2374200" y="3621247"/>
                            <a:chExt cx="5943600" cy="3175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1"/>
                              <a:chOff x="2374200" y="3621246"/>
                              <a:chExt cx="5943600" cy="31750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0"/>
                                <a:chOff x="2374200" y="3619980"/>
                                <a:chExt cx="5943600" cy="320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19980"/>
                                  <a:ext cx="5943598" cy="3200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19980"/>
                                  <a:ext cx="5943600" cy="320040"/>
                                  <a:chOff x="0" y="0"/>
                                  <a:chExt cx="5962650" cy="32385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59626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9050" y="0"/>
                                    <a:ext cx="5943598" cy="18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66676"/>
                                    <a:ext cx="594359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  <w:t xml:space="preserve">[Fecha]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b" bIns="0" lIns="91425" rIns="91425" tIns="45700"/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84200" cy="4445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84200" cy="444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rive.google.com/open?id=11nM49ydWyd7PuBPC4aiDuyODlZOAKzWsmTzmw6fVvbc" TargetMode="External"/><Relationship Id="rId8" Type="http://schemas.openxmlformats.org/officeDocument/2006/relationships/hyperlink" Target="https://drive.google.com/open?id=14ooocH_yeRZY_kcC1k6iiUO4MEOUqGJoRmVR59Rnb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