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 Cambios Maestros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06/05/17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Csoft-Pruebas_Cambios_Maestros-060517.docx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6990"/>
        <w:tblGridChange w:id="0">
          <w:tblGrid>
            <w:gridCol w:w="2520"/>
            <w:gridCol w:w="6990"/>
          </w:tblGrid>
        </w:tblGridChange>
      </w:tblGrid>
      <w:tr>
        <w:trPr>
          <w:trHeight w:val="6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cambios de maestros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en DB que la modificación realizada sea correcta.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a Sistema como usuario Administrador y se realiza por medio de la opción de Cambio Maestro.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Cambio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Seleccionar Campo a modificar.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Ingresar datos nuevos.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Confirmar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repite el paso 3 hasta seleccionar la opción salir.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Maestro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before="6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se ha modificado el valor ‘Campo a Cambiar’”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48100" cy="2333308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37924" l="14035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333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57625" cy="2018983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0189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49053" cy="111442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053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10953" cy="15240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953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00475" cy="2219007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18847" l="0" r="5572" t="8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219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96678" cy="11144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678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867150" cy="1276032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2760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3914775" cy="1990407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9904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realizan los cambios correctamente, se probó con el maestro con RFC VIVAG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querys estaban mal diseñados y no imprimían los valores almacenados en la BD, los update se optimizaron porque no se actualizaban los campos indicados.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5" w:type="default"/>
          <w:footerReference r:id="rId16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1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11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1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12.png"/><Relationship Id="rId16" Type="http://schemas.openxmlformats.org/officeDocument/2006/relationships/footer" Target="footer1.xml"/><Relationship Id="rId5" Type="http://schemas.openxmlformats.org/officeDocument/2006/relationships/image" Target="media/image13.png"/><Relationship Id="rId6" Type="http://schemas.openxmlformats.org/officeDocument/2006/relationships/image" Target="media/image24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2.png"/></Relationships>
</file>