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Csoft-Operational_Specification_Template_Menú_Reportes_Alumnos-250417.docx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reportes número de alumnos por materias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reportes número de alumnos por 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reporte de alumnos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reportes_alumnos_materias()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alumnos materias..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reportes número de alumnos por semestre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reportes número de alumnos por semestre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reporte de alumnos semestres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reportes_alumnos_semestres()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alumnos semestres..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 kardex del alumno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 kardex de 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kardex de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reportes_alumnos_kardex()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alumnos kardex..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 de calificación alumno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reportes calificación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reporte de calificación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reportes_alumnos_calificacion()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alumnos calificación..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menú de reportes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reporte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menu_reportes()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menú de reportes..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