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Reportes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Csoft-Pruebas_Menú_Reportes_Planes-260417.docx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75"/>
        <w:tblGridChange w:id="0">
          <w:tblGrid>
            <w:gridCol w:w="2520"/>
            <w:gridCol w:w="727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Menú Reportes Planes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la estructura del Menú Reportes Planes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al sistema y se mostrará la estructura del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1.-Probar el acceso a reportes planes.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2.-Probar el acceso a reportes de planes por alumno.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3.-Probar que se pueda salir.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4.-Probar opciones inválidas.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 Presione una tecla para continuar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 Opción Incorrecta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43871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4387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2733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2606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222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menú funciona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image" Target="media/image5.png"/><Relationship Id="rId6" Type="http://schemas.openxmlformats.org/officeDocument/2006/relationships/image" Target="media/image1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4.png"/></Relationships>
</file>