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menú 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Csoft-HLDR-Menú_Reportes-270417.docx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