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</w:t>
      </w:r>
      <w:commentRangeStart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Specification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Template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59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Csoft-Logic_Specification_Template_Transformación_DB-270417.docx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460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stdio.h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sqlite3.h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sqlite3.c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460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menú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Acceso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2.  Crear Tabla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opción: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guardar opción en opc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int resultado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sqlite3 *basedatos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resultado=sqlite3_open(“test.db”,&amp;basedatos)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if( SQLITE_OK != resultado)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</w:t>
              <w:tab/>
              <w:t xml:space="preserve">printf(Error en la apertura)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if( SQLITE_OK == resultado)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</w:t>
              <w:tab/>
              <w:t xml:space="preserve">printf(Base de datos abierta)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sqlite3_close(basedatos)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comando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rc = sqlite3_exec()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 (rc != SQLITE_OK)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 (stderr, “SQL Error. %s”,zErrMsg)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sqlite3_free(zErrMsg)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else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fprintf(stdout, “Tabla Creada”)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comando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rc = sqlite3_exec()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 (rc != SQLITE_OK)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 (stderr, “SQL Error. %s”,zErrMsg)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sqlite3_free(zErrMsg)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else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fprintf(stdout, “Valores ingresados correctamente”)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comando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rc = sqlite3_exec()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 (rc != SQLITE_OK)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 (stderr, “SQL Error. %s”,zErrMsg)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sqlite3_free(zErrMsg)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else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fprintf(stdout, “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Operación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Exitosa”)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comando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rc = sqlite3_exec()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 (rc != SQLITE_OK)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 (stderr, “SQL Error. %s”,zErrMsg)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sqlite3_free(zErrMsg)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else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fprintf(stdout, “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Operación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Exitosa”)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46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comando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rc = sqlite3_exec()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if (rc != SQLITE_OK)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 (stderr, “SQL Error. %s”,zErrMsg)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sqlite3_free(zErrMsg)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else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-20" w:firstLine="0"/>
              <w:contextualSpacing w:val="0"/>
              <w:rPr>
                <w:rFonts w:ascii="Arial" w:cs="Arial" w:eastAsia="Arial" w:hAnsi="Arial"/>
                <w:color w:val="25252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  </w:t>
              <w:tab/>
              <w:t xml:space="preserve">fprintf(stdout, “Operación Exitosa”)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ILLERMO VIVALDO VAZQUEZ" w:id="0" w:date="2017-04-29T09:31:5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+brenda.robles@upaep.edu.mx ibas a racha perfecta principa de calidad jeje checate tus dos errores de ortografía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