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9412"/>
      </w:tblGrid>
      <w:tr>
        <w:trPr>
          <w:trHeight w:val="13948" w:hRule="exact"/>
        </w:trPr>
        <w:tc>
          <w:tcPr>
            <w:tcW w:type="dxa" w:w="9411"/>
            <w:shd w:val="clear" w:color="auto" w:fill="1B2A49"/>
            <w:tcMar>
              <w:top w:w="700" w:type="dxa"/>
              <w:left w:w="500" w:type="dxa"/>
              <w:bottom w:w="500" w:type="dxa"/>
              <w:right w:w="500" w:type="dxa"/>
            </w:tcMar>
          </w:tcPr>
          <w:p>
            <w:pPr>
              <w:spacing w:after="40"/>
            </w:pPr>
            <w:r>
              <w:rPr>
                <w:rFonts w:ascii="Calibri" w:hAnsi="Calibri" w:eastAsia="Calibri"/>
                <w:b/>
                <w:color w:val="F2A900"/>
                <w:sz w:val="22"/>
              </w:rPr>
              <w:t>PROYECTO LA PUERTA</w:t>
            </w:r>
          </w:p>
          <w:p>
            <w:r>
              <w:rPr>
                <w:rFonts w:ascii="Calibri" w:hAnsi="Calibri" w:eastAsia="Calibri"/>
                <w:color w:val="C9D1E3"/>
                <w:sz w:val="19"/>
              </w:rPr>
              <w:t>Duoc UC · Escuela de Administración y Negocios · Sede San Bernardo</w:t>
            </w:r>
          </w:p>
          <w:p>
            <w:pPr>
              <w:spacing w:after="1200"/>
            </w:pPr>
          </w:p>
          <w:p>
            <w:r>
              <w:rPr>
                <w:rFonts w:ascii="Calibri" w:hAnsi="Calibri" w:eastAsia="Calibri"/>
                <w:b/>
                <w:color w:val="F2A900"/>
                <w:sz w:val="20"/>
              </w:rPr>
              <w:t>PRODUCTO B · ANÁLISIS CON CONTRASTE DE HIPÓTESIS</w:t>
            </w:r>
          </w:p>
          <w:p>
            <w:pPr>
              <w:spacing w:line="240" w:lineRule="auto" w:after="160"/>
            </w:pPr>
            <w:r>
              <w:rPr>
                <w:rFonts w:ascii="Calibri" w:hAnsi="Calibri" w:eastAsia="Calibri"/>
                <w:b/>
                <w:color w:val="FFFFFF"/>
                <w:sz w:val="60"/>
              </w:rPr>
              <w:t>Informe con hipótesis</w:t>
            </w:r>
          </w:p>
          <w:p>
            <w:pPr>
              <w:spacing w:after="600"/>
            </w:pPr>
            <w:r>
              <w:rPr>
                <w:rFonts w:ascii="Calibri" w:hAnsi="Calibri" w:eastAsia="Calibri"/>
                <w:color w:val="DDE3F0"/>
                <w:sz w:val="26"/>
              </w:rPr>
              <w:t>Qué respaldan —y qué no— los datos de la encuesta frente a las hipótesis del Proyecto La Puerta</w:t>
            </w:r>
          </w:p>
          <w:p>
            <w:pPr>
              <w:jc w:val="center"/>
            </w:pPr>
            <w:r>
              <w:drawing>
                <wp:inline xmlns:a="http://schemas.openxmlformats.org/drawingml/2006/main" xmlns:pic="http://schemas.openxmlformats.org/drawingml/2006/picture">
                  <wp:extent cx="4140000" cy="2070000"/>
                  <wp:docPr id="1" name="Picture 1"/>
                  <wp:cNvGraphicFramePr>
                    <a:graphicFrameLocks noChangeAspect="1"/>
                  </wp:cNvGraphicFramePr>
                  <a:graphic>
                    <a:graphicData uri="http://schemas.openxmlformats.org/drawingml/2006/picture">
                      <pic:pic>
                        <pic:nvPicPr>
                          <pic:cNvPr id="0" name="portada_puerta.png"/>
                          <pic:cNvPicPr/>
                        </pic:nvPicPr>
                        <pic:blipFill>
                          <a:blip r:embed="rId9"/>
                          <a:stretch>
                            <a:fillRect/>
                          </a:stretch>
                        </pic:blipFill>
                        <pic:spPr>
                          <a:xfrm>
                            <a:off x="0" y="0"/>
                            <a:ext cx="4140000" cy="2070000"/>
                          </a:xfrm>
                          <a:prstGeom prst="rect"/>
                        </pic:spPr>
                      </pic:pic>
                    </a:graphicData>
                  </a:graphic>
                </wp:inline>
              </w:drawing>
            </w:r>
          </w:p>
          <w:p>
            <w:pPr>
              <w:spacing w:after="360"/>
            </w:pPr>
          </w:p>
          <w:p>
            <w:r>
              <w:rPr>
                <w:rFonts w:ascii="Calibri" w:hAnsi="Calibri" w:eastAsia="Calibri"/>
                <w:color w:val="C9D1E3"/>
                <w:sz w:val="19"/>
              </w:rPr>
              <w:t>Encuesta de percepción y competencias · 184 estudiantes · aplicada del 13 al 16 de octubre de 2026</w:t>
            </w:r>
          </w:p>
          <w:p>
            <w:r>
              <w:rPr>
                <w:rFonts w:ascii="Calibri" w:hAnsi="Calibri" w:eastAsia="Calibri"/>
                <w:color w:val="AEB8CF"/>
                <w:sz w:val="18"/>
              </w:rPr>
              <w:t>Elaborado con apoyo de herramientas de Inteligencia Artificial (ver declaración al final) · Octubre de 2026</w:t>
            </w:r>
          </w:p>
        </w:tc>
      </w:tr>
    </w:tbl>
    <w:p>
      <w:pPr>
        <w:pStyle w:val="Heading1"/>
        <w:pageBreakBefore/>
      </w:pPr>
      <w:r>
        <w:t>Contenido</w:t>
      </w:r>
    </w:p>
    <w:p>
      <w:pPr>
        <w:spacing w:after="100"/>
      </w:pPr>
      <w:r>
        <w:rPr>
          <w:rFonts w:ascii="Calibri" w:hAnsi="Calibri" w:eastAsia="Calibri"/>
          <w:b/>
          <w:sz w:val="22"/>
        </w:rPr>
        <w:t>1.</w:t>
      </w:r>
      <w:r>
        <w:rPr>
          <w:rFonts w:ascii="Calibri" w:hAnsi="Calibri" w:eastAsia="Calibri"/>
          <w:sz w:val="22"/>
        </w:rPr>
        <w:t xml:space="preserve">  Resumen ejecutivo</w:t>
      </w:r>
    </w:p>
    <w:p>
      <w:pPr>
        <w:spacing w:after="100"/>
      </w:pPr>
      <w:r>
        <w:rPr>
          <w:rFonts w:ascii="Calibri" w:hAnsi="Calibri" w:eastAsia="Calibri"/>
          <w:b/>
          <w:sz w:val="22"/>
        </w:rPr>
        <w:t>2.</w:t>
      </w:r>
      <w:r>
        <w:rPr>
          <w:rFonts w:ascii="Calibri" w:hAnsi="Calibri" w:eastAsia="Calibri"/>
          <w:sz w:val="22"/>
        </w:rPr>
        <w:t xml:space="preserve">  Formulación de hipótesis</w:t>
      </w:r>
    </w:p>
    <w:p>
      <w:pPr>
        <w:spacing w:after="100"/>
      </w:pPr>
      <w:r>
        <w:rPr>
          <w:rFonts w:ascii="Calibri" w:hAnsi="Calibri" w:eastAsia="Calibri"/>
          <w:b/>
          <w:sz w:val="22"/>
        </w:rPr>
        <w:t>3.</w:t>
      </w:r>
      <w:r>
        <w:rPr>
          <w:rFonts w:ascii="Calibri" w:hAnsi="Calibri" w:eastAsia="Calibri"/>
          <w:sz w:val="22"/>
        </w:rPr>
        <w:t xml:space="preserve">  Metodología de análisis</w:t>
      </w:r>
    </w:p>
    <w:p>
      <w:pPr>
        <w:spacing w:after="100"/>
      </w:pPr>
      <w:r>
        <w:rPr>
          <w:rFonts w:ascii="Calibri" w:hAnsi="Calibri" w:eastAsia="Calibri"/>
          <w:b/>
          <w:sz w:val="22"/>
        </w:rPr>
        <w:t>4.</w:t>
      </w:r>
      <w:r>
        <w:rPr>
          <w:rFonts w:ascii="Calibri" w:hAnsi="Calibri" w:eastAsia="Calibri"/>
          <w:sz w:val="22"/>
        </w:rPr>
        <w:t xml:space="preserve">  Contraste e interpretación de las hipótesis</w:t>
      </w:r>
    </w:p>
    <w:p>
      <w:pPr>
        <w:spacing w:after="100"/>
      </w:pPr>
      <w:r>
        <w:rPr>
          <w:rFonts w:ascii="Calibri" w:hAnsi="Calibri" w:eastAsia="Calibri"/>
          <w:b/>
          <w:sz w:val="22"/>
        </w:rPr>
        <w:t>5.</w:t>
      </w:r>
      <w:r>
        <w:rPr>
          <w:rFonts w:ascii="Calibri" w:hAnsi="Calibri" w:eastAsia="Calibri"/>
          <w:sz w:val="22"/>
        </w:rPr>
        <w:t xml:space="preserve">  Hallazgos principales</w:t>
      </w:r>
    </w:p>
    <w:p>
      <w:pPr>
        <w:spacing w:after="100"/>
      </w:pPr>
      <w:r>
        <w:rPr>
          <w:rFonts w:ascii="Calibri" w:hAnsi="Calibri" w:eastAsia="Calibri"/>
          <w:b/>
          <w:sz w:val="22"/>
        </w:rPr>
        <w:t>6.</w:t>
      </w:r>
      <w:r>
        <w:rPr>
          <w:rFonts w:ascii="Calibri" w:hAnsi="Calibri" w:eastAsia="Calibri"/>
          <w:sz w:val="22"/>
        </w:rPr>
        <w:t xml:space="preserve">  Conclusiones</w:t>
      </w:r>
    </w:p>
    <w:p>
      <w:pPr>
        <w:spacing w:after="100"/>
      </w:pPr>
      <w:r>
        <w:rPr>
          <w:rFonts w:ascii="Calibri" w:hAnsi="Calibri" w:eastAsia="Calibri"/>
          <w:b/>
          <w:sz w:val="22"/>
        </w:rPr>
        <w:t>7.</w:t>
      </w:r>
      <w:r>
        <w:rPr>
          <w:rFonts w:ascii="Calibri" w:hAnsi="Calibri" w:eastAsia="Calibri"/>
          <w:sz w:val="22"/>
        </w:rPr>
        <w:t xml:space="preserve">  Recomendaciones de mejora</w:t>
      </w:r>
    </w:p>
    <w:p>
      <w:pPr>
        <w:spacing w:after="100"/>
      </w:pPr>
      <w:r>
        <w:rPr>
          <w:rFonts w:ascii="Calibri" w:hAnsi="Calibri" w:eastAsia="Calibri"/>
          <w:b/>
          <w:sz w:val="22"/>
        </w:rPr>
        <w:t>8.</w:t>
      </w:r>
      <w:r>
        <w:rPr>
          <w:rFonts w:ascii="Calibri" w:hAnsi="Calibri" w:eastAsia="Calibri"/>
          <w:sz w:val="22"/>
        </w:rPr>
        <w:t xml:space="preserve">  Anexos y declaración de uso de IA</w:t>
      </w:r>
    </w:p>
    <w:p>
      <w:pPr>
        <w:spacing w:after="100"/>
      </w:pPr>
      <w:r>
        <w:rPr>
          <w:rFonts w:ascii="Calibri" w:hAnsi="Calibri" w:eastAsia="Calibri"/>
          <w:b/>
          <w:sz w:val="22"/>
        </w:rPr>
        <w:t>9.</w:t>
      </w:r>
      <w:r>
        <w:rPr>
          <w:rFonts w:ascii="Calibri" w:hAnsi="Calibri" w:eastAsia="Calibri"/>
          <w:sz w:val="22"/>
        </w:rPr>
        <w:t xml:space="preserve">  Bibliografía y referencias</w:t>
      </w:r>
    </w:p>
    <w:p>
      <w:pPr>
        <w:pStyle w:val="Heading1"/>
        <w:pageBreakBefore/>
      </w:pPr>
      <w:r>
        <w:t>1. Resumen ejecutivo</w:t>
      </w:r>
    </w:p>
    <w:p>
      <w:r>
        <w:rPr>
          <w:rFonts w:ascii="Calibri" w:hAnsi="Calibri" w:eastAsia="Calibri"/>
        </w:rPr>
        <w:t xml:space="preserve">Este informe pone a prueba las hipótesis del Proyecto La Puerta con las respuestas de </w:t>
      </w:r>
      <w:r>
        <w:rPr>
          <w:rFonts w:ascii="Calibri" w:hAnsi="Calibri" w:eastAsia="Calibri"/>
          <w:b/>
        </w:rPr>
        <w:t>184 estudiantes</w:t>
      </w:r>
      <w:r>
        <w:rPr>
          <w:rFonts w:ascii="Calibri" w:hAnsi="Calibri" w:eastAsia="Calibri"/>
        </w:rPr>
        <w:t xml:space="preserve">. La hipótesis central —tomada del *Informe Metodológico* del proyecto— dice que </w:t>
      </w:r>
      <w:r>
        <w:rPr>
          <w:rFonts w:ascii="Calibri" w:hAnsi="Calibri" w:eastAsia="Calibri"/>
          <w:b/>
        </w:rPr>
        <w:t>haber vivido antes una práctica laboral amortigua el «shock de transición» y fortalece la autoeficacia</w:t>
      </w:r>
      <w:r>
        <w:rPr>
          <w:rFonts w:ascii="Calibri" w:hAnsi="Calibri" w:eastAsia="Calibri"/>
        </w:rPr>
        <w:t xml:space="preserve">, reduciendo las brechas en comunicación, adaptabilidad y autonomía. A esa hipótesis se suman cuatro hipótesis complementarias formuladas por el equipo analista y una sexta (efecto del programa antes/después) que </w:t>
      </w:r>
      <w:r>
        <w:rPr>
          <w:rFonts w:ascii="Calibri" w:hAnsi="Calibri" w:eastAsia="Calibri"/>
          <w:b/>
        </w:rPr>
        <w:t>no se puede evaluar</w:t>
      </w:r>
      <w:r>
        <w:rPr>
          <w:rFonts w:ascii="Calibri" w:hAnsi="Calibri" w:eastAsia="Calibri"/>
        </w:rPr>
        <w:t xml:space="preserve"> con estos datos.</w:t>
      </w:r>
    </w:p>
    <w:p>
      <w:pPr>
        <w:keepNext/>
        <w:spacing w:after="40"/>
        <w:jc w:val="center"/>
      </w:pPr>
      <w:r>
        <w:drawing>
          <wp:inline xmlns:a="http://schemas.openxmlformats.org/drawingml/2006/main" xmlns:pic="http://schemas.openxmlformats.org/drawingml/2006/picture">
            <wp:extent cx="5832000" cy="2098115"/>
            <wp:docPr id="2" name="Picture 2"/>
            <wp:cNvGraphicFramePr>
              <a:graphicFrameLocks noChangeAspect="1"/>
            </wp:cNvGraphicFramePr>
            <a:graphic>
              <a:graphicData uri="http://schemas.openxmlformats.org/drawingml/2006/picture">
                <pic:pic>
                  <pic:nvPicPr>
                    <pic:cNvPr id="0" name="g15_hipotesis.png"/>
                    <pic:cNvPicPr/>
                  </pic:nvPicPr>
                  <pic:blipFill>
                    <a:blip r:embed="rId12"/>
                    <a:stretch>
                      <a:fillRect/>
                    </a:stretch>
                  </pic:blipFill>
                  <pic:spPr>
                    <a:xfrm>
                      <a:off x="0" y="0"/>
                      <a:ext cx="5832000" cy="2098115"/>
                    </a:xfrm>
                    <a:prstGeom prst="rect"/>
                  </pic:spPr>
                </pic:pic>
              </a:graphicData>
            </a:graphic>
          </wp:inline>
        </w:drawing>
      </w:r>
    </w:p>
    <w:p>
      <w:pPr>
        <w:spacing w:after="200"/>
        <w:jc w:val="center"/>
      </w:pPr>
      <w:r>
        <w:rPr>
          <w:rFonts w:ascii="Calibri" w:hAnsi="Calibri" w:eastAsia="Calibri"/>
          <w:i/>
          <w:color w:val="8892A6"/>
          <w:sz w:val="17"/>
        </w:rPr>
        <w:t>Figura 1. Tablero de resultados: cuánto respaldan los datos cada hipótesis.</w:t>
      </w:r>
    </w:p>
    <w:p>
      <w:pPr>
        <w:pStyle w:val="Heading3"/>
      </w:pPr>
      <w:r>
        <w:t>Lo esencial, en cuatro ideas</w:t>
      </w:r>
    </w:p>
    <w:p>
      <w:pPr>
        <w:spacing w:after="80"/>
        <w:ind w:left="510" w:hanging="340"/>
      </w:pPr>
      <w:r>
        <w:rPr>
          <w:rFonts w:ascii="Calibri" w:hAnsi="Calibri" w:eastAsia="Calibri"/>
          <w:b/>
        </w:rPr>
        <w:t>1.</w:t>
      </w:r>
      <w:r>
        <w:rPr>
          <w:rFonts w:ascii="Calibri" w:hAnsi="Calibri" w:eastAsia="Calibri"/>
        </w:rPr>
        <w:t xml:space="preserve">  </w:t>
      </w:r>
      <w:r>
        <w:rPr>
          <w:rFonts w:ascii="Calibri" w:hAnsi="Calibri" w:eastAsia="Calibri"/>
          <w:b/>
        </w:rPr>
        <w:t>La práctica previa ayuda, pero mucho menos de lo que el proyecto proyectó.</w:t>
      </w:r>
      <w:r>
        <w:rPr>
          <w:rFonts w:ascii="Calibri" w:hAnsi="Calibri" w:eastAsia="Calibri"/>
        </w:rPr>
        <w:t xml:space="preserve"> Quienes ya practicaron puntúan 0,17 puntos más (3,97 vs. 3,80). El informe metodológico anticipaba una brecha de 0,8 a 1,2 puntos y una correlación de al menos 0,45; observamos r = 0,12. La </w:t>
      </w:r>
      <w:r>
        <w:rPr>
          <w:rFonts w:ascii="Calibri" w:hAnsi="Calibri" w:eastAsia="Calibri"/>
          <w:b/>
        </w:rPr>
        <w:t>dirección</w:t>
      </w:r>
      <w:r>
        <w:rPr>
          <w:rFonts w:ascii="Calibri" w:hAnsi="Calibri" w:eastAsia="Calibri"/>
        </w:rPr>
        <w:t xml:space="preserve"> es la esperada; la </w:t>
      </w:r>
      <w:r>
        <w:rPr>
          <w:rFonts w:ascii="Calibri" w:hAnsi="Calibri" w:eastAsia="Calibri"/>
          <w:b/>
        </w:rPr>
        <w:t>magnitud</w:t>
      </w:r>
      <w:r>
        <w:rPr>
          <w:rFonts w:ascii="Calibri" w:hAnsi="Calibri" w:eastAsia="Calibri"/>
        </w:rPr>
        <w:t xml:space="preserve"> no.</w:t>
      </w:r>
    </w:p>
    <w:p>
      <w:pPr>
        <w:spacing w:after="80"/>
        <w:ind w:left="510" w:hanging="340"/>
      </w:pPr>
      <w:r>
        <w:rPr>
          <w:rFonts w:ascii="Calibri" w:hAnsi="Calibri" w:eastAsia="Calibri"/>
          <w:b/>
        </w:rPr>
        <w:t>2.</w:t>
      </w:r>
      <w:r>
        <w:rPr>
          <w:rFonts w:ascii="Calibri" w:hAnsi="Calibri" w:eastAsia="Calibri"/>
        </w:rPr>
        <w:t xml:space="preserve">  </w:t>
      </w:r>
      <w:r>
        <w:rPr>
          <w:rFonts w:ascii="Calibri" w:hAnsi="Calibri" w:eastAsia="Calibri"/>
          <w:b/>
        </w:rPr>
        <w:t>El punto débil es la red de contactos, para todos.</w:t>
      </w:r>
      <w:r>
        <w:rPr>
          <w:rFonts w:ascii="Calibri" w:hAnsi="Calibri" w:eastAsia="Calibri"/>
        </w:rPr>
        <w:t xml:space="preserve"> Es la dimensión más baja y la afirmación P12 está claramente por debajo de las otras 14, tengan o no práctica previa (hipótesis 3, respaldada).</w:t>
      </w:r>
    </w:p>
    <w:p>
      <w:pPr>
        <w:spacing w:after="80"/>
        <w:ind w:left="510" w:hanging="340"/>
      </w:pPr>
      <w:r>
        <w:rPr>
          <w:rFonts w:ascii="Calibri" w:hAnsi="Calibri" w:eastAsia="Calibri"/>
          <w:b/>
        </w:rPr>
        <w:t>3.</w:t>
      </w:r>
      <w:r>
        <w:rPr>
          <w:rFonts w:ascii="Calibri" w:hAnsi="Calibri" w:eastAsia="Calibri"/>
        </w:rPr>
        <w:t xml:space="preserve">  </w:t>
      </w:r>
      <w:r>
        <w:rPr>
          <w:rFonts w:ascii="Calibri" w:hAnsi="Calibri" w:eastAsia="Calibri"/>
          <w:b/>
        </w:rPr>
        <w:t>Conocer y probar el trabajo real se asocia con sentirse seguro de adaptarse.</w:t>
      </w:r>
      <w:r>
        <w:rPr>
          <w:rFonts w:ascii="Calibri" w:hAnsi="Calibri" w:eastAsia="Calibri"/>
        </w:rPr>
        <w:t xml:space="preserve"> Las afirmaciones sobre conocer el rol, aplicar lo aprendido y haber contrastado el trabajo explican cerca de la mitad de la variación en la seguridad percibida (hipótesis 4, respaldada).</w:t>
      </w:r>
    </w:p>
    <w:p>
      <w:pPr>
        <w:spacing w:after="80"/>
        <w:ind w:left="510" w:hanging="340"/>
      </w:pPr>
      <w:r>
        <w:rPr>
          <w:rFonts w:ascii="Calibri" w:hAnsi="Calibri" w:eastAsia="Calibri"/>
          <w:b/>
        </w:rPr>
        <w:t>4.</w:t>
      </w:r>
      <w:r>
        <w:rPr>
          <w:rFonts w:ascii="Calibri" w:hAnsi="Calibri" w:eastAsia="Calibri"/>
        </w:rPr>
        <w:t xml:space="preserve">  </w:t>
      </w:r>
      <w:r>
        <w:rPr>
          <w:rFonts w:ascii="Calibri" w:hAnsi="Calibri" w:eastAsia="Calibri"/>
          <w:b/>
        </w:rPr>
        <w:t>Hay una demanda clara y homogénea:</w:t>
      </w:r>
      <w:r>
        <w:rPr>
          <w:rFonts w:ascii="Calibri" w:hAnsi="Calibri" w:eastAsia="Calibri"/>
        </w:rPr>
        <w:t xml:space="preserve"> 83 % quiere participar en proyectos con empresas reales antes de la práctica (hipótesis 5, respaldada).</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F2A900"/>
            <w:tcMar>
              <w:top w:w="0" w:type="dxa"/>
              <w:left w:w="0" w:type="dxa"/>
              <w:bottom w:w="0" w:type="dxa"/>
              <w:right w:w="0" w:type="dxa"/>
            </w:tcMar>
          </w:tcPr>
          <w:p/>
        </w:tc>
        <w:tc>
          <w:tcPr>
            <w:tcW w:type="dxa" w:w="9213"/>
            <w:shd w:val="clear" w:color="auto" w:fill="FFF7E0"/>
            <w:tcMar>
              <w:top w:w="120" w:type="dxa"/>
              <w:left w:w="200" w:type="dxa"/>
              <w:bottom w:w="120" w:type="dxa"/>
              <w:right w:w="160" w:type="dxa"/>
            </w:tcMar>
          </w:tcPr>
          <w:p>
            <w:pPr>
              <w:spacing w:after="40"/>
            </w:pPr>
            <w:r>
              <w:rPr>
                <w:rFonts w:ascii="Calibri" w:hAnsi="Calibri" w:eastAsia="Calibri"/>
                <w:b/>
                <w:color w:val="F2A900"/>
                <w:sz w:val="21"/>
              </w:rPr>
              <w:t>Veredicto sobre la hipótesis central</w:t>
            </w:r>
          </w:p>
          <w:p>
            <w:pPr>
              <w:spacing w:after="40"/>
            </w:pPr>
            <w:r>
              <w:rPr>
                <w:rFonts w:ascii="Calibri" w:hAnsi="Calibri" w:eastAsia="Calibri"/>
                <w:b/>
                <w:sz w:val="20"/>
              </w:rPr>
              <w:t>Parcialmente respaldada: sí en dirección, no en magnitud.</w:t>
            </w:r>
            <w:r>
              <w:rPr>
                <w:rFonts w:ascii="Calibri" w:hAnsi="Calibri" w:eastAsia="Calibri"/>
                <w:sz w:val="20"/>
              </w:rPr>
              <w:t xml:space="preserve"> La cohorte cae en el tramo del «Escenario 2 – hallazgos mixtos» por su promedio (3,87), pero </w:t>
            </w:r>
            <w:r>
              <w:rPr>
                <w:rFonts w:ascii="Calibri" w:hAnsi="Calibri" w:eastAsia="Calibri"/>
                <w:b/>
                <w:sz w:val="20"/>
              </w:rPr>
              <w:t>sin</w:t>
            </w:r>
            <w:r>
              <w:rPr>
                <w:rFonts w:ascii="Calibri" w:hAnsi="Calibri" w:eastAsia="Calibri"/>
                <w:sz w:val="20"/>
              </w:rPr>
              <w:t xml:space="preserve"> la brecha por experiencia previa que define a ese escenario. Con la muestra actual podemos descartar que la diferencia sea de 0,8 puntos o más; no podemos descartar una diferencia pequeña (entre 0 y 0,36 puntos).</w:t>
            </w:r>
          </w:p>
        </w:tc>
      </w:tr>
    </w:tbl>
    <w:p>
      <w:pPr>
        <w:spacing w:after="40"/>
      </w:pP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E4572E"/>
            <w:tcMar>
              <w:top w:w="0" w:type="dxa"/>
              <w:left w:w="0" w:type="dxa"/>
              <w:bottom w:w="0" w:type="dxa"/>
              <w:right w:w="0" w:type="dxa"/>
            </w:tcMar>
          </w:tcPr>
          <w:p/>
        </w:tc>
        <w:tc>
          <w:tcPr>
            <w:tcW w:type="dxa" w:w="9213"/>
            <w:shd w:val="clear" w:color="auto" w:fill="FDEEE9"/>
            <w:tcMar>
              <w:top w:w="120" w:type="dxa"/>
              <w:left w:w="200" w:type="dxa"/>
              <w:bottom w:w="120" w:type="dxa"/>
              <w:right w:w="160" w:type="dxa"/>
            </w:tcMar>
          </w:tcPr>
          <w:p>
            <w:pPr>
              <w:spacing w:after="40"/>
            </w:pPr>
            <w:r>
              <w:rPr>
                <w:rFonts w:ascii="Calibri" w:hAnsi="Calibri" w:eastAsia="Calibri"/>
                <w:b/>
                <w:color w:val="E4572E"/>
                <w:sz w:val="21"/>
              </w:rPr>
              <w:t>⚠ Una advertencia importante sobre los datos</w:t>
            </w:r>
          </w:p>
          <w:p>
            <w:pPr>
              <w:spacing w:after="40"/>
            </w:pPr>
            <w:r>
              <w:rPr>
                <w:rFonts w:ascii="Calibri" w:hAnsi="Calibri" w:eastAsia="Calibri"/>
                <w:sz w:val="20"/>
              </w:rPr>
              <w:t xml:space="preserve">La base trae </w:t>
            </w:r>
            <w:r>
              <w:rPr>
                <w:rFonts w:ascii="Calibri" w:hAnsi="Calibri" w:eastAsia="Calibri"/>
                <w:b/>
                <w:sz w:val="20"/>
              </w:rPr>
              <w:t>184 respuestas de un solo momento</w:t>
            </w:r>
            <w:r>
              <w:rPr>
                <w:rFonts w:ascii="Calibri" w:hAnsi="Calibri" w:eastAsia="Calibri"/>
                <w:sz w:val="20"/>
              </w:rPr>
              <w:t xml:space="preserve">. Los campos que permitirían comparar «antes y después» o «grupo La Puerta vs. grupo de comparación» (código de estudiante, momento de medición y grupo de asignación) vienen </w:t>
            </w:r>
            <w:r>
              <w:rPr>
                <w:rFonts w:ascii="Calibri" w:hAnsi="Calibri" w:eastAsia="Calibri"/>
                <w:b/>
                <w:sz w:val="20"/>
              </w:rPr>
              <w:t>vacíos en las 184 filas</w:t>
            </w:r>
            <w:r>
              <w:rPr>
                <w:rFonts w:ascii="Calibri" w:hAnsi="Calibri" w:eastAsia="Calibri"/>
                <w:sz w:val="20"/>
              </w:rPr>
              <w:t>, igual que la pregunta de valoración del programa (POST_EXP1).</w:t>
            </w:r>
          </w:p>
          <w:p>
            <w:pPr>
              <w:spacing w:after="40"/>
            </w:pPr>
            <w:r>
              <w:rPr>
                <w:rFonts w:ascii="Calibri" w:hAnsi="Calibri" w:eastAsia="Calibri"/>
                <w:sz w:val="20"/>
              </w:rPr>
              <w:t xml:space="preserve">Por eso este análisis describe </w:t>
            </w:r>
            <w:r>
              <w:rPr>
                <w:rFonts w:ascii="Calibri" w:hAnsi="Calibri" w:eastAsia="Calibri"/>
                <w:b/>
                <w:sz w:val="20"/>
              </w:rPr>
              <w:t>cómo se perciben hoy los estudiantes</w:t>
            </w:r>
            <w:r>
              <w:rPr>
                <w:rFonts w:ascii="Calibri" w:hAnsi="Calibri" w:eastAsia="Calibri"/>
                <w:sz w:val="20"/>
              </w:rPr>
              <w:t xml:space="preserve"> y contrasta hipótesis sobre </w:t>
            </w:r>
            <w:r>
              <w:rPr>
                <w:rFonts w:ascii="Calibri" w:hAnsi="Calibri" w:eastAsia="Calibri"/>
                <w:b/>
                <w:sz w:val="20"/>
              </w:rPr>
              <w:t>diferencias entre perfiles</w:t>
            </w:r>
            <w:r>
              <w:rPr>
                <w:rFonts w:ascii="Calibri" w:hAnsi="Calibri" w:eastAsia="Calibri"/>
                <w:sz w:val="20"/>
              </w:rPr>
              <w:t xml:space="preserve"> (por ejemplo, con y sin práctica previa). </w:t>
            </w:r>
            <w:r>
              <w:rPr>
                <w:rFonts w:ascii="Calibri" w:hAnsi="Calibri" w:eastAsia="Calibri"/>
                <w:b/>
                <w:sz w:val="20"/>
              </w:rPr>
              <w:t>No puede afirmar que el programa La Puerta produzca cambios</w:t>
            </w:r>
            <w:r>
              <w:rPr>
                <w:rFonts w:ascii="Calibri" w:hAnsi="Calibri" w:eastAsia="Calibri"/>
                <w:sz w:val="20"/>
              </w:rPr>
              <w:t>: eso requiere medir a las mismas personas antes y después, con un grupo de comparación.</w:t>
            </w:r>
          </w:p>
        </w:tc>
      </w:tr>
    </w:tbl>
    <w:p>
      <w:pPr>
        <w:spacing w:after="40"/>
      </w:pPr>
    </w:p>
    <w:p>
      <w:pPr>
        <w:pStyle w:val="Heading1"/>
        <w:pageBreakBefore/>
      </w:pPr>
      <w:r>
        <w:t>2. Formulación de hipótesis</w:t>
      </w:r>
    </w:p>
    <w:p>
      <w:pPr>
        <w:pStyle w:val="Heading2"/>
      </w:pPr>
      <w:r>
        <w:t>2.1 De dónde salen las hipótesis</w:t>
      </w:r>
    </w:p>
    <w:p>
      <w:r>
        <w:rPr>
          <w:rFonts w:ascii="Calibri" w:hAnsi="Calibri" w:eastAsia="Calibri"/>
        </w:rPr>
        <w:t xml:space="preserve">El *Informe Metodológico y Análisis Prospectivo de Brechas* del Proyecto La Puerta plantea una premisa: el aprendizaje del currículo es necesario pero </w:t>
      </w:r>
      <w:r>
        <w:rPr>
          <w:rFonts w:ascii="Calibri" w:hAnsi="Calibri" w:eastAsia="Calibri"/>
          <w:b/>
        </w:rPr>
        <w:t>insuficiente</w:t>
      </w:r>
      <w:r>
        <w:rPr>
          <w:rFonts w:ascii="Calibri" w:hAnsi="Calibri" w:eastAsia="Calibri"/>
        </w:rPr>
        <w:t xml:space="preserve"> para una transición exitosa; la variable que modula el desempeño es la </w:t>
      </w:r>
      <w:r>
        <w:rPr>
          <w:rFonts w:ascii="Calibri" w:hAnsi="Calibri" w:eastAsia="Calibri"/>
          <w:b/>
        </w:rPr>
        <w:t>trayectoria de práctica previa</w:t>
      </w:r>
      <w:r>
        <w:rPr>
          <w:rFonts w:ascii="Calibri" w:hAnsi="Calibri" w:eastAsia="Calibri"/>
        </w:rPr>
        <w:t>. Textualmente, se postula que «la vivencia previa de inmersión laboral actúa como un factor amortiguador del shock de transición, consolidando la autoeficacia ocupacional del estudiante y reduciendo significativamente las brechas conductuales en comunicación, adaptabilidad y autonomía». Esto se apoya en la teoría de la autoeficacia (Bandura, 1997): la experiencia directa de logro es la fuente más fuerte de confianza.</w:t>
      </w:r>
    </w:p>
    <w:p>
      <w:r>
        <w:rPr>
          <w:rFonts w:ascii="Calibri" w:hAnsi="Calibri" w:eastAsia="Calibri"/>
        </w:rPr>
        <w:t xml:space="preserve">El mismo informe propone </w:t>
      </w:r>
      <w:r>
        <w:rPr>
          <w:rFonts w:ascii="Calibri" w:hAnsi="Calibri" w:eastAsia="Calibri"/>
          <w:b/>
        </w:rPr>
        <w:t>tres escenarios</w:t>
      </w:r>
      <w:r>
        <w:rPr>
          <w:rFonts w:ascii="Calibri" w:hAnsi="Calibri" w:eastAsia="Calibri"/>
        </w:rPr>
        <w:t xml:space="preserve"> para interpretar los resultados y un </w:t>
      </w:r>
      <w:r>
        <w:rPr>
          <w:rFonts w:ascii="Calibri" w:hAnsi="Calibri" w:eastAsia="Calibri"/>
          <w:b/>
        </w:rPr>
        <w:t>semáforo</w:t>
      </w:r>
      <w:r>
        <w:rPr>
          <w:rFonts w:ascii="Calibri" w:hAnsi="Calibri" w:eastAsia="Calibri"/>
        </w:rPr>
        <w:t xml:space="preserve"> de puntajes. Los usamos como reglas de decisión, porque fueron definidos por el equipo del proyecto antes de ver estos datos:</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2041"/>
        <w:gridCol w:w="5216"/>
        <w:gridCol w:w="2154"/>
      </w:tblGrid>
      <w:tr>
        <w:trPr>
          <w:tblHeader w:val="true"/>
        </w:trPr>
        <w:tc>
          <w:tcPr>
            <w:tcW w:type="dxa" w:w="2041"/>
            <w:shd w:val="clear" w:color="auto" w:fill="1B2A49"/>
            <w:tcMar>
              <w:top w:w="70" w:type="dxa"/>
              <w:left w:w="90" w:type="dxa"/>
              <w:bottom w:w="70" w:type="dxa"/>
              <w:right w:w="90" w:type="dxa"/>
            </w:tcMar>
          </w:tcPr>
          <w:p>
            <w:pPr>
              <w:spacing w:after="0"/>
            </w:pPr>
            <w:r>
              <w:rPr>
                <w:rFonts w:ascii="Calibri" w:hAnsi="Calibri" w:eastAsia="Calibri"/>
                <w:b/>
                <w:color w:val="FFFFFF"/>
                <w:sz w:val="18"/>
              </w:rPr>
              <w:t>Escenario</w:t>
            </w:r>
          </w:p>
        </w:tc>
        <w:tc>
          <w:tcPr>
            <w:tcW w:type="dxa" w:w="5216"/>
            <w:shd w:val="clear" w:color="auto" w:fill="1B2A49"/>
            <w:tcMar>
              <w:top w:w="70" w:type="dxa"/>
              <w:left w:w="90" w:type="dxa"/>
              <w:bottom w:w="70" w:type="dxa"/>
              <w:right w:w="90" w:type="dxa"/>
            </w:tcMar>
          </w:tcPr>
          <w:p>
            <w:pPr>
              <w:spacing w:after="0"/>
            </w:pPr>
            <w:r>
              <w:rPr>
                <w:rFonts w:ascii="Calibri" w:hAnsi="Calibri" w:eastAsia="Calibri"/>
                <w:b/>
                <w:color w:val="FFFFFF"/>
                <w:sz w:val="18"/>
              </w:rPr>
              <w:t>Criterios del Informe Metodológico</w:t>
            </w:r>
          </w:p>
        </w:tc>
        <w:tc>
          <w:tcPr>
            <w:tcW w:type="dxa" w:w="2154"/>
            <w:shd w:val="clear" w:color="auto" w:fill="1B2A49"/>
            <w:tcMar>
              <w:top w:w="70" w:type="dxa"/>
              <w:left w:w="90" w:type="dxa"/>
              <w:bottom w:w="70" w:type="dxa"/>
              <w:right w:w="90" w:type="dxa"/>
            </w:tcMar>
          </w:tcPr>
          <w:p>
            <w:pPr>
              <w:spacing w:after="0"/>
            </w:pPr>
            <w:r>
              <w:rPr>
                <w:rFonts w:ascii="Calibri" w:hAnsi="Calibri" w:eastAsia="Calibri"/>
                <w:b/>
                <w:color w:val="FFFFFF"/>
                <w:sz w:val="18"/>
              </w:rPr>
              <w:t>Lectura propuesta</w:t>
            </w:r>
          </w:p>
        </w:tc>
      </w:tr>
      <w:tr>
        <w:trPr>
          <w:cantSplit/>
        </w:trPr>
        <w:tc>
          <w:tcPr>
            <w:tcW w:type="dxa" w:w="2041"/>
            <w:tcMar>
              <w:top w:w="60" w:type="dxa"/>
              <w:left w:w="90" w:type="dxa"/>
              <w:bottom w:w="60" w:type="dxa"/>
              <w:right w:w="90" w:type="dxa"/>
            </w:tcMar>
            <w:vAlign w:val="center"/>
            <w:shd w:val="clear" w:color="auto" w:fill="1F8A8A"/>
          </w:tcPr>
          <w:p>
            <w:pPr>
              <w:spacing w:after="0"/>
            </w:pPr>
            <w:r>
              <w:rPr>
                <w:rFonts w:ascii="Calibri" w:hAnsi="Calibri" w:eastAsia="Calibri"/>
                <w:b/>
                <w:color w:val="FFFFFF"/>
                <w:sz w:val="18"/>
              </w:rPr>
              <w:t>1 · Hipótesis confirmada</w:t>
            </w:r>
          </w:p>
        </w:tc>
        <w:tc>
          <w:tcPr>
            <w:tcW w:type="dxa" w:w="5216"/>
            <w:tcMar>
              <w:top w:w="60" w:type="dxa"/>
              <w:left w:w="90" w:type="dxa"/>
              <w:bottom w:w="60" w:type="dxa"/>
              <w:right w:w="90" w:type="dxa"/>
            </w:tcMar>
            <w:vAlign w:val="center"/>
          </w:tcPr>
          <w:p>
            <w:pPr>
              <w:spacing w:after="0"/>
            </w:pPr>
            <w:r>
              <w:rPr>
                <w:rFonts w:ascii="Calibri" w:hAnsi="Calibri" w:eastAsia="Calibri"/>
                <w:sz w:val="18"/>
              </w:rPr>
              <w:t>Promedio ≥ 4,20 · correlación práctica previa–índice global r ≥ 0,45 (p &lt; 0,01) · +25 % a +35 % en autonomía y comunicación para quienes tienen práctica previa</w:t>
            </w:r>
          </w:p>
        </w:tc>
        <w:tc>
          <w:tcPr>
            <w:tcW w:type="dxa" w:w="2154"/>
            <w:tcMar>
              <w:top w:w="60" w:type="dxa"/>
              <w:left w:w="90" w:type="dxa"/>
              <w:bottom w:w="60" w:type="dxa"/>
              <w:right w:w="90" w:type="dxa"/>
            </w:tcMar>
            <w:vAlign w:val="center"/>
          </w:tcPr>
          <w:p>
            <w:pPr>
              <w:spacing w:after="0"/>
            </w:pPr>
            <w:r>
              <w:rPr>
                <w:rFonts w:ascii="Calibri" w:hAnsi="Calibri" w:eastAsia="Calibri"/>
                <w:sz w:val="18"/>
              </w:rPr>
              <w:t>Brechas bajas, alta madurez laboral</w:t>
            </w:r>
          </w:p>
        </w:tc>
      </w:tr>
      <w:tr>
        <w:trPr>
          <w:cantSplit/>
        </w:trPr>
        <w:tc>
          <w:tcPr>
            <w:tcW w:type="dxa" w:w="2041"/>
            <w:tcMar>
              <w:top w:w="60" w:type="dxa"/>
              <w:left w:w="90" w:type="dxa"/>
              <w:bottom w:w="60" w:type="dxa"/>
              <w:right w:w="90" w:type="dxa"/>
            </w:tcMar>
            <w:vAlign w:val="center"/>
            <w:shd w:val="clear" w:color="auto" w:fill="F7F9FC"/>
            <w:shd w:val="clear" w:color="auto" w:fill="F2A900"/>
          </w:tcPr>
          <w:p>
            <w:pPr>
              <w:spacing w:after="0"/>
            </w:pPr>
            <w:r>
              <w:rPr>
                <w:rFonts w:ascii="Calibri" w:hAnsi="Calibri" w:eastAsia="Calibri"/>
                <w:color w:val="1B2A49"/>
                <w:sz w:val="18"/>
              </w:rPr>
              <w:t>2 · Hallazgos mixtos</w:t>
            </w:r>
          </w:p>
        </w:tc>
        <w:tc>
          <w:tcPr>
            <w:tcW w:type="dxa" w:w="5216"/>
            <w:tcMar>
              <w:top w:w="60" w:type="dxa"/>
              <w:left w:w="90" w:type="dxa"/>
              <w:bottom w:w="60" w:type="dxa"/>
              <w:right w:w="90" w:type="dxa"/>
            </w:tcMar>
            <w:vAlign w:val="center"/>
            <w:shd w:val="clear" w:color="auto" w:fill="F7F9FC"/>
          </w:tcPr>
          <w:p>
            <w:pPr>
              <w:spacing w:after="0"/>
            </w:pPr>
            <w:r>
              <w:rPr>
                <w:rFonts w:ascii="Calibri" w:hAnsi="Calibri" w:eastAsia="Calibri"/>
                <w:sz w:val="18"/>
              </w:rPr>
              <w:t>Promedio 3,50–4,10 · brecha de 0,8 a 1,2 puntos entre con y sin práctica previa (p &lt; 0,001; ej. 4,3 vs. 3,3)</w:t>
            </w:r>
          </w:p>
        </w:tc>
        <w:tc>
          <w:tcPr>
            <w:tcW w:type="dxa" w:w="2154"/>
            <w:tcMar>
              <w:top w:w="60" w:type="dxa"/>
              <w:left w:w="90" w:type="dxa"/>
              <w:bottom w:w="60" w:type="dxa"/>
              <w:right w:w="90" w:type="dxa"/>
            </w:tcMar>
            <w:vAlign w:val="center"/>
            <w:shd w:val="clear" w:color="auto" w:fill="F7F9FC"/>
          </w:tcPr>
          <w:p>
            <w:pPr>
              <w:spacing w:after="0"/>
            </w:pPr>
            <w:r>
              <w:rPr>
                <w:rFonts w:ascii="Calibri" w:hAnsi="Calibri" w:eastAsia="Calibri"/>
                <w:sz w:val="18"/>
              </w:rPr>
              <w:t>La falta de práctica previa es un factor de inequidad</w:t>
            </w:r>
          </w:p>
        </w:tc>
      </w:tr>
      <w:tr>
        <w:trPr>
          <w:cantSplit/>
        </w:trPr>
        <w:tc>
          <w:tcPr>
            <w:tcW w:type="dxa" w:w="2041"/>
            <w:tcMar>
              <w:top w:w="60" w:type="dxa"/>
              <w:left w:w="90" w:type="dxa"/>
              <w:bottom w:w="60" w:type="dxa"/>
              <w:right w:w="90" w:type="dxa"/>
            </w:tcMar>
            <w:vAlign w:val="center"/>
            <w:shd w:val="clear" w:color="auto" w:fill="E4572E"/>
          </w:tcPr>
          <w:p>
            <w:pPr>
              <w:spacing w:after="0"/>
            </w:pPr>
            <w:r>
              <w:rPr>
                <w:rFonts w:ascii="Calibri" w:hAnsi="Calibri" w:eastAsia="Calibri"/>
                <w:b/>
                <w:color w:val="FFFFFF"/>
                <w:sz w:val="18"/>
              </w:rPr>
              <w:t>3 · Alerta temprana</w:t>
            </w:r>
          </w:p>
        </w:tc>
        <w:tc>
          <w:tcPr>
            <w:tcW w:type="dxa" w:w="5216"/>
            <w:tcMar>
              <w:top w:w="60" w:type="dxa"/>
              <w:left w:w="90" w:type="dxa"/>
              <w:bottom w:w="60" w:type="dxa"/>
              <w:right w:w="90" w:type="dxa"/>
            </w:tcMar>
            <w:vAlign w:val="center"/>
          </w:tcPr>
          <w:p>
            <w:pPr>
              <w:spacing w:after="0"/>
            </w:pPr>
            <w:r>
              <w:rPr>
                <w:rFonts w:ascii="Calibri" w:hAnsi="Calibri" w:eastAsia="Calibri"/>
                <w:sz w:val="18"/>
              </w:rPr>
              <w:t>Promedio &lt; 3,50 · más de 40 % de la cohorte bajo 3,50 en autonomía y resiliencia</w:t>
            </w:r>
          </w:p>
        </w:tc>
        <w:tc>
          <w:tcPr>
            <w:tcW w:type="dxa" w:w="2154"/>
            <w:tcMar>
              <w:top w:w="60" w:type="dxa"/>
              <w:left w:w="90" w:type="dxa"/>
              <w:bottom w:w="60" w:type="dxa"/>
              <w:right w:w="90" w:type="dxa"/>
            </w:tcMar>
            <w:vAlign w:val="center"/>
          </w:tcPr>
          <w:p>
            <w:pPr>
              <w:spacing w:after="0"/>
            </w:pPr>
            <w:r>
              <w:rPr>
                <w:rFonts w:ascii="Calibri" w:hAnsi="Calibri" w:eastAsia="Calibri"/>
                <w:sz w:val="18"/>
              </w:rPr>
              <w:t>Fragilidad conductual generalizada</w:t>
            </w:r>
          </w:p>
        </w:tc>
      </w:tr>
    </w:tbl>
    <w:p>
      <w:pPr>
        <w:spacing w:after="40"/>
      </w:pPr>
    </w:p>
    <w:p>
      <w:pPr>
        <w:pStyle w:val="Heading2"/>
      </w:pPr>
      <w:r>
        <w:t>2.2 Las hipótesis que se contrastan</w:t>
      </w:r>
    </w:p>
    <w:p>
      <w:r>
        <w:rPr>
          <w:rFonts w:ascii="Calibri" w:hAnsi="Calibri" w:eastAsia="Calibri"/>
        </w:rPr>
        <w:t xml:space="preserve">Ordenadas por importancia. </w:t>
      </w:r>
      <w:r>
        <w:rPr>
          <w:rFonts w:ascii="Calibri" w:hAnsi="Calibri" w:eastAsia="Calibri"/>
          <w:b/>
        </w:rPr>
        <w:t>H1</w:t>
      </w:r>
      <w:r>
        <w:rPr>
          <w:rFonts w:ascii="Calibri" w:hAnsi="Calibri" w:eastAsia="Calibri"/>
        </w:rPr>
        <w:t xml:space="preserve"> viene del Informe Metodológico; </w:t>
      </w:r>
      <w:r>
        <w:rPr>
          <w:rFonts w:ascii="Calibri" w:hAnsi="Calibri" w:eastAsia="Calibri"/>
          <w:b/>
        </w:rPr>
        <w:t>H2 a H5</w:t>
      </w:r>
      <w:r>
        <w:rPr>
          <w:rFonts w:ascii="Calibri" w:hAnsi="Calibri" w:eastAsia="Calibri"/>
        </w:rPr>
        <w:t xml:space="preserve"> las formuló el equipo analista a partir del mismo instrumento y de lo observado en la descripción (por eso se declaran como exploratorias, </w:t>
      </w:r>
      <w:r>
        <w:rPr>
          <w:rFonts w:ascii="Calibri" w:hAnsi="Calibri" w:eastAsia="Calibri"/>
          <w:b/>
        </w:rPr>
        <w:t>[HIPÓTESIS]</w:t>
      </w:r>
      <w:r>
        <w:rPr>
          <w:rFonts w:ascii="Calibri" w:hAnsi="Calibri" w:eastAsia="Calibri"/>
        </w:rPr>
        <w:t xml:space="preserve">); </w:t>
      </w:r>
      <w:r>
        <w:rPr>
          <w:rFonts w:ascii="Calibri" w:hAnsi="Calibri" w:eastAsia="Calibri"/>
          <w:b/>
        </w:rPr>
        <w:t>H6</w:t>
      </w:r>
      <w:r>
        <w:rPr>
          <w:rFonts w:ascii="Calibri" w:hAnsi="Calibri" w:eastAsia="Calibri"/>
        </w:rPr>
        <w:t xml:space="preserve"> se incluye porque es la pregunta de fondo del proyecto, aunque hoy no se pueda responder.</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963"/>
        <w:gridCol w:w="3175"/>
        <w:gridCol w:w="2494"/>
        <w:gridCol w:w="2778"/>
      </w:tblGrid>
      <w:tr>
        <w:trPr>
          <w:tblHeader w:val="true"/>
        </w:trPr>
        <w:tc>
          <w:tcPr>
            <w:tcW w:type="dxa" w:w="964"/>
            <w:shd w:val="clear" w:color="auto" w:fill="1B2A49"/>
            <w:tcMar>
              <w:top w:w="70" w:type="dxa"/>
              <w:left w:w="90" w:type="dxa"/>
              <w:bottom w:w="70" w:type="dxa"/>
              <w:right w:w="90" w:type="dxa"/>
            </w:tcMar>
          </w:tcPr>
          <w:p>
            <w:pPr>
              <w:spacing w:after="0"/>
            </w:pPr>
            <w:r>
              <w:rPr>
                <w:rFonts w:ascii="Calibri" w:hAnsi="Calibri" w:eastAsia="Calibri"/>
                <w:b/>
                <w:color w:val="FFFFFF"/>
                <w:sz w:val="17"/>
              </w:rPr>
              <w:t>Código</w:t>
            </w:r>
          </w:p>
        </w:tc>
        <w:tc>
          <w:tcPr>
            <w:tcW w:type="dxa" w:w="3175"/>
            <w:shd w:val="clear" w:color="auto" w:fill="1B2A49"/>
            <w:tcMar>
              <w:top w:w="70" w:type="dxa"/>
              <w:left w:w="90" w:type="dxa"/>
              <w:bottom w:w="70" w:type="dxa"/>
              <w:right w:w="90" w:type="dxa"/>
            </w:tcMar>
          </w:tcPr>
          <w:p>
            <w:pPr>
              <w:spacing w:after="0"/>
            </w:pPr>
            <w:r>
              <w:rPr>
                <w:rFonts w:ascii="Calibri" w:hAnsi="Calibri" w:eastAsia="Calibri"/>
                <w:b/>
                <w:color w:val="FFFFFF"/>
                <w:sz w:val="17"/>
              </w:rPr>
              <w:t>Hipótesis (en simple)</w:t>
            </w:r>
          </w:p>
        </w:tc>
        <w:tc>
          <w:tcPr>
            <w:tcW w:type="dxa" w:w="2494"/>
            <w:shd w:val="clear" w:color="auto" w:fill="1B2A49"/>
            <w:tcMar>
              <w:top w:w="70" w:type="dxa"/>
              <w:left w:w="90" w:type="dxa"/>
              <w:bottom w:w="70" w:type="dxa"/>
              <w:right w:w="90" w:type="dxa"/>
            </w:tcMar>
          </w:tcPr>
          <w:p>
            <w:pPr>
              <w:spacing w:after="0"/>
            </w:pPr>
            <w:r>
              <w:rPr>
                <w:rFonts w:ascii="Calibri" w:hAnsi="Calibri" w:eastAsia="Calibri"/>
                <w:b/>
                <w:color w:val="FFFFFF"/>
                <w:sz w:val="17"/>
              </w:rPr>
              <w:t>Variables</w:t>
            </w:r>
          </w:p>
        </w:tc>
        <w:tc>
          <w:tcPr>
            <w:tcW w:type="dxa" w:w="2778"/>
            <w:shd w:val="clear" w:color="auto" w:fill="1B2A49"/>
            <w:tcMar>
              <w:top w:w="70" w:type="dxa"/>
              <w:left w:w="90" w:type="dxa"/>
              <w:bottom w:w="70" w:type="dxa"/>
              <w:right w:w="90" w:type="dxa"/>
            </w:tcMar>
          </w:tcPr>
          <w:p>
            <w:pPr>
              <w:spacing w:after="0"/>
            </w:pPr>
            <w:r>
              <w:rPr>
                <w:rFonts w:ascii="Calibri" w:hAnsi="Calibri" w:eastAsia="Calibri"/>
                <w:b/>
                <w:color w:val="FFFFFF"/>
                <w:sz w:val="17"/>
              </w:rPr>
              <w:t>Se considera respaldada si…</w:t>
            </w:r>
          </w:p>
        </w:tc>
      </w:tr>
      <w:tr>
        <w:trPr>
          <w:cantSplit/>
        </w:trPr>
        <w:tc>
          <w:tcPr>
            <w:tcW w:type="dxa" w:w="964"/>
            <w:tcMar>
              <w:top w:w="60" w:type="dxa"/>
              <w:left w:w="90" w:type="dxa"/>
              <w:bottom w:w="60" w:type="dxa"/>
              <w:right w:w="90" w:type="dxa"/>
            </w:tcMar>
            <w:vAlign w:val="center"/>
            <w:shd w:val="clear" w:color="auto" w:fill="F2A900"/>
          </w:tcPr>
          <w:p>
            <w:pPr>
              <w:spacing w:after="0"/>
            </w:pPr>
            <w:r>
              <w:rPr>
                <w:rFonts w:ascii="Calibri" w:hAnsi="Calibri" w:eastAsia="Calibri"/>
                <w:color w:val="1B2A49"/>
                <w:sz w:val="17"/>
              </w:rPr>
              <w:t>H1</w:t>
              <w:br/>
              <w:t>(central)</w:t>
            </w:r>
          </w:p>
        </w:tc>
        <w:tc>
          <w:tcPr>
            <w:tcW w:type="dxa" w:w="3175"/>
            <w:tcMar>
              <w:top w:w="60" w:type="dxa"/>
              <w:left w:w="90" w:type="dxa"/>
              <w:bottom w:w="60" w:type="dxa"/>
              <w:right w:w="90" w:type="dxa"/>
            </w:tcMar>
            <w:vAlign w:val="center"/>
          </w:tcPr>
          <w:p>
            <w:pPr>
              <w:spacing w:after="0"/>
            </w:pPr>
            <w:r>
              <w:rPr>
                <w:rFonts w:ascii="Calibri" w:hAnsi="Calibri" w:eastAsia="Calibri"/>
                <w:b/>
                <w:sz w:val="17"/>
              </w:rPr>
              <w:t>La práctica previa amortigua la transición:</w:t>
            </w:r>
            <w:r>
              <w:rPr>
                <w:rFonts w:ascii="Calibri" w:hAnsi="Calibri" w:eastAsia="Calibri"/>
                <w:sz w:val="17"/>
              </w:rPr>
              <w:t xml:space="preserve"> quienes ya practicaron se sienten más preparados y con menos brechas.</w:t>
            </w:r>
          </w:p>
        </w:tc>
        <w:tc>
          <w:tcPr>
            <w:tcW w:type="dxa" w:w="2494"/>
            <w:tcMar>
              <w:top w:w="60" w:type="dxa"/>
              <w:left w:w="90" w:type="dxa"/>
              <w:bottom w:w="60" w:type="dxa"/>
              <w:right w:w="90" w:type="dxa"/>
            </w:tcMar>
            <w:vAlign w:val="center"/>
          </w:tcPr>
          <w:p>
            <w:pPr>
              <w:spacing w:after="0"/>
            </w:pPr>
            <w:r>
              <w:rPr>
                <w:rFonts w:ascii="Calibri" w:hAnsi="Calibri" w:eastAsia="Calibri"/>
                <w:sz w:val="17"/>
              </w:rPr>
              <w:t>Práctica previa (ID07, con/sin) · índice global y dimensiones · semáforo oficial</w:t>
            </w:r>
          </w:p>
        </w:tc>
        <w:tc>
          <w:tcPr>
            <w:tcW w:type="dxa" w:w="2778"/>
            <w:tcMar>
              <w:top w:w="60" w:type="dxa"/>
              <w:left w:w="90" w:type="dxa"/>
              <w:bottom w:w="60" w:type="dxa"/>
              <w:right w:w="90" w:type="dxa"/>
            </w:tcMar>
            <w:vAlign w:val="center"/>
          </w:tcPr>
          <w:p>
            <w:pPr>
              <w:spacing w:after="0"/>
            </w:pPr>
            <w:r>
              <w:rPr>
                <w:rFonts w:ascii="Calibri" w:hAnsi="Calibri" w:eastAsia="Calibri"/>
                <w:sz w:val="17"/>
              </w:rPr>
              <w:t>r ≥ 0,45 y brecha ≥ 0,8 puntos (criterios del informe). «Parcial» si la dirección coincide pero la magnitud es menor.</w:t>
            </w:r>
          </w:p>
        </w:tc>
      </w:tr>
      <w:tr>
        <w:trPr>
          <w:cantSplit/>
        </w:trPr>
        <w:tc>
          <w:tcPr>
            <w:tcW w:type="dxa" w:w="964"/>
            <w:tcMar>
              <w:top w:w="60" w:type="dxa"/>
              <w:left w:w="90" w:type="dxa"/>
              <w:bottom w:w="60" w:type="dxa"/>
              <w:right w:w="90" w:type="dxa"/>
            </w:tcMar>
            <w:vAlign w:val="center"/>
            <w:shd w:val="clear" w:color="auto" w:fill="F7F9FC"/>
          </w:tcPr>
          <w:p>
            <w:pPr>
              <w:spacing w:after="0"/>
            </w:pPr>
            <w:r>
              <w:rPr>
                <w:rFonts w:ascii="Calibri" w:hAnsi="Calibri" w:eastAsia="Calibri"/>
                <w:sz w:val="17"/>
              </w:rPr>
              <w:t>H2</w:t>
            </w:r>
          </w:p>
        </w:tc>
        <w:tc>
          <w:tcPr>
            <w:tcW w:type="dxa" w:w="3175"/>
            <w:tcMar>
              <w:top w:w="60" w:type="dxa"/>
              <w:left w:w="90" w:type="dxa"/>
              <w:bottom w:w="60" w:type="dxa"/>
              <w:right w:w="90" w:type="dxa"/>
            </w:tcMar>
            <w:vAlign w:val="center"/>
            <w:shd w:val="clear" w:color="auto" w:fill="F7F9FC"/>
          </w:tcPr>
          <w:p>
            <w:pPr>
              <w:spacing w:after="0"/>
            </w:pPr>
            <w:r>
              <w:rPr>
                <w:rFonts w:ascii="Calibri" w:hAnsi="Calibri" w:eastAsia="Calibri"/>
                <w:b/>
                <w:sz w:val="17"/>
              </w:rPr>
              <w:t>A más avance en la carrera, mayor percepción de preparación.</w:t>
            </w:r>
          </w:p>
        </w:tc>
        <w:tc>
          <w:tcPr>
            <w:tcW w:type="dxa" w:w="2494"/>
            <w:tcMar>
              <w:top w:w="60" w:type="dxa"/>
              <w:left w:w="90" w:type="dxa"/>
              <w:bottom w:w="60" w:type="dxa"/>
              <w:right w:w="90" w:type="dxa"/>
            </w:tcMar>
            <w:vAlign w:val="center"/>
            <w:shd w:val="clear" w:color="auto" w:fill="F7F9FC"/>
          </w:tcPr>
          <w:p>
            <w:pPr>
              <w:spacing w:after="0"/>
            </w:pPr>
            <w:r>
              <w:rPr>
                <w:rFonts w:ascii="Calibri" w:hAnsi="Calibri" w:eastAsia="Calibri"/>
                <w:sz w:val="17"/>
              </w:rPr>
              <w:t>Año de estudio (1.º–2.º / 3.º–4.º / 5.º o más) · dimensiones</w:t>
            </w:r>
          </w:p>
        </w:tc>
        <w:tc>
          <w:tcPr>
            <w:tcW w:type="dxa" w:w="2778"/>
            <w:tcMar>
              <w:top w:w="60" w:type="dxa"/>
              <w:left w:w="90" w:type="dxa"/>
              <w:bottom w:w="60" w:type="dxa"/>
              <w:right w:w="90" w:type="dxa"/>
            </w:tcMar>
            <w:vAlign w:val="center"/>
            <w:shd w:val="clear" w:color="auto" w:fill="F7F9FC"/>
          </w:tcPr>
          <w:p>
            <w:pPr>
              <w:spacing w:after="0"/>
            </w:pPr>
            <w:r>
              <w:rPr>
                <w:rFonts w:ascii="Calibri" w:hAnsi="Calibri" w:eastAsia="Calibri"/>
                <w:sz w:val="17"/>
              </w:rPr>
              <w:t>Diferencia entre años con p ajustado &lt; 0,05 y tendencia creciente.</w:t>
            </w:r>
          </w:p>
        </w:tc>
      </w:tr>
      <w:tr>
        <w:trPr>
          <w:cantSplit/>
        </w:trPr>
        <w:tc>
          <w:tcPr>
            <w:tcW w:type="dxa" w:w="964"/>
            <w:tcMar>
              <w:top w:w="60" w:type="dxa"/>
              <w:left w:w="90" w:type="dxa"/>
              <w:bottom w:w="60" w:type="dxa"/>
              <w:right w:w="90" w:type="dxa"/>
            </w:tcMar>
            <w:vAlign w:val="center"/>
          </w:tcPr>
          <w:p>
            <w:pPr>
              <w:spacing w:after="0"/>
            </w:pPr>
            <w:r>
              <w:rPr>
                <w:rFonts w:ascii="Calibri" w:hAnsi="Calibri" w:eastAsia="Calibri"/>
                <w:sz w:val="17"/>
              </w:rPr>
              <w:t>H3</w:t>
            </w:r>
          </w:p>
        </w:tc>
        <w:tc>
          <w:tcPr>
            <w:tcW w:type="dxa" w:w="3175"/>
            <w:tcMar>
              <w:top w:w="60" w:type="dxa"/>
              <w:left w:w="90" w:type="dxa"/>
              <w:bottom w:w="60" w:type="dxa"/>
              <w:right w:w="90" w:type="dxa"/>
            </w:tcMar>
            <w:vAlign w:val="center"/>
          </w:tcPr>
          <w:p>
            <w:pPr>
              <w:spacing w:after="0"/>
            </w:pPr>
            <w:r>
              <w:rPr>
                <w:rFonts w:ascii="Calibri" w:hAnsi="Calibri" w:eastAsia="Calibri"/>
                <w:b/>
                <w:sz w:val="17"/>
              </w:rPr>
              <w:t>La red de contactos es el punto más débil</w:t>
            </w:r>
            <w:r>
              <w:rPr>
                <w:rFonts w:ascii="Calibri" w:hAnsi="Calibri" w:eastAsia="Calibri"/>
                <w:sz w:val="17"/>
              </w:rPr>
              <w:t xml:space="preserve"> (dimensión D4 y afirmación P12).</w:t>
            </w:r>
          </w:p>
        </w:tc>
        <w:tc>
          <w:tcPr>
            <w:tcW w:type="dxa" w:w="2494"/>
            <w:tcMar>
              <w:top w:w="60" w:type="dxa"/>
              <w:left w:w="90" w:type="dxa"/>
              <w:bottom w:w="60" w:type="dxa"/>
              <w:right w:w="90" w:type="dxa"/>
            </w:tcMar>
            <w:vAlign w:val="center"/>
          </w:tcPr>
          <w:p>
            <w:pPr>
              <w:spacing w:after="0"/>
            </w:pPr>
            <w:r>
              <w:rPr>
                <w:rFonts w:ascii="Calibri" w:hAnsi="Calibri" w:eastAsia="Calibri"/>
                <w:sz w:val="17"/>
              </w:rPr>
              <w:t>D1 a D5 · P12 contra las otras 14 afirmaciones</w:t>
            </w:r>
          </w:p>
        </w:tc>
        <w:tc>
          <w:tcPr>
            <w:tcW w:type="dxa" w:w="2778"/>
            <w:tcMar>
              <w:top w:w="60" w:type="dxa"/>
              <w:left w:w="90" w:type="dxa"/>
              <w:bottom w:w="60" w:type="dxa"/>
              <w:right w:w="90" w:type="dxa"/>
            </w:tcMar>
            <w:vAlign w:val="center"/>
          </w:tcPr>
          <w:p>
            <w:pPr>
              <w:spacing w:after="0"/>
            </w:pPr>
            <w:r>
              <w:rPr>
                <w:rFonts w:ascii="Calibri" w:hAnsi="Calibri" w:eastAsia="Calibri"/>
                <w:sz w:val="17"/>
              </w:rPr>
              <w:t>D4 y P12 significativamente menores que el resto (p ajustado &lt; 0,05).</w:t>
            </w:r>
          </w:p>
        </w:tc>
      </w:tr>
      <w:tr>
        <w:trPr>
          <w:cantSplit/>
        </w:trPr>
        <w:tc>
          <w:tcPr>
            <w:tcW w:type="dxa" w:w="964"/>
            <w:tcMar>
              <w:top w:w="60" w:type="dxa"/>
              <w:left w:w="90" w:type="dxa"/>
              <w:bottom w:w="60" w:type="dxa"/>
              <w:right w:w="90" w:type="dxa"/>
            </w:tcMar>
            <w:vAlign w:val="center"/>
            <w:shd w:val="clear" w:color="auto" w:fill="F7F9FC"/>
          </w:tcPr>
          <w:p>
            <w:pPr>
              <w:spacing w:after="0"/>
            </w:pPr>
            <w:r>
              <w:rPr>
                <w:rFonts w:ascii="Calibri" w:hAnsi="Calibri" w:eastAsia="Calibri"/>
                <w:sz w:val="17"/>
              </w:rPr>
              <w:t>H4</w:t>
            </w:r>
          </w:p>
        </w:tc>
        <w:tc>
          <w:tcPr>
            <w:tcW w:type="dxa" w:w="3175"/>
            <w:tcMar>
              <w:top w:w="60" w:type="dxa"/>
              <w:left w:w="90" w:type="dxa"/>
              <w:bottom w:w="60" w:type="dxa"/>
              <w:right w:w="90" w:type="dxa"/>
            </w:tcMar>
            <w:vAlign w:val="center"/>
            <w:shd w:val="clear" w:color="auto" w:fill="F7F9FC"/>
          </w:tcPr>
          <w:p>
            <w:pPr>
              <w:spacing w:after="0"/>
            </w:pPr>
            <w:r>
              <w:rPr>
                <w:rFonts w:ascii="Calibri" w:hAnsi="Calibri" w:eastAsia="Calibri"/>
                <w:b/>
                <w:sz w:val="17"/>
              </w:rPr>
              <w:t>Conocer y probar el trabajo real se asocia con sentirse más seguro de adaptarse.</w:t>
            </w:r>
          </w:p>
        </w:tc>
        <w:tc>
          <w:tcPr>
            <w:tcW w:type="dxa" w:w="2494"/>
            <w:tcMar>
              <w:top w:w="60" w:type="dxa"/>
              <w:left w:w="90" w:type="dxa"/>
              <w:bottom w:w="60" w:type="dxa"/>
              <w:right w:w="90" w:type="dxa"/>
            </w:tcMar>
            <w:vAlign w:val="center"/>
            <w:shd w:val="clear" w:color="auto" w:fill="F7F9FC"/>
          </w:tcPr>
          <w:p>
            <w:pPr>
              <w:spacing w:after="0"/>
            </w:pPr>
            <w:r>
              <w:rPr>
                <w:rFonts w:ascii="Calibri" w:hAnsi="Calibri" w:eastAsia="Calibri"/>
                <w:sz w:val="17"/>
              </w:rPr>
              <w:t>P01, P05, P09, P12 → P10 (seguridad de adaptarse)</w:t>
            </w:r>
          </w:p>
        </w:tc>
        <w:tc>
          <w:tcPr>
            <w:tcW w:type="dxa" w:w="2778"/>
            <w:tcMar>
              <w:top w:w="60" w:type="dxa"/>
              <w:left w:w="90" w:type="dxa"/>
              <w:bottom w:w="60" w:type="dxa"/>
              <w:right w:w="90" w:type="dxa"/>
            </w:tcMar>
            <w:vAlign w:val="center"/>
            <w:shd w:val="clear" w:color="auto" w:fill="F7F9FC"/>
          </w:tcPr>
          <w:p>
            <w:pPr>
              <w:spacing w:after="0"/>
            </w:pPr>
            <w:r>
              <w:rPr>
                <w:rFonts w:ascii="Calibri" w:hAnsi="Calibri" w:eastAsia="Calibri"/>
                <w:sz w:val="17"/>
              </w:rPr>
              <w:t>Asociación positiva moderada o mayor (rho ≥ 0,30) que se mantiene al controlar por las otras variables.</w:t>
            </w:r>
          </w:p>
        </w:tc>
      </w:tr>
      <w:tr>
        <w:trPr>
          <w:cantSplit/>
        </w:trPr>
        <w:tc>
          <w:tcPr>
            <w:tcW w:type="dxa" w:w="964"/>
            <w:tcMar>
              <w:top w:w="60" w:type="dxa"/>
              <w:left w:w="90" w:type="dxa"/>
              <w:bottom w:w="60" w:type="dxa"/>
              <w:right w:w="90" w:type="dxa"/>
            </w:tcMar>
            <w:vAlign w:val="center"/>
          </w:tcPr>
          <w:p>
            <w:pPr>
              <w:spacing w:after="0"/>
            </w:pPr>
            <w:r>
              <w:rPr>
                <w:rFonts w:ascii="Calibri" w:hAnsi="Calibri" w:eastAsia="Calibri"/>
                <w:sz w:val="17"/>
              </w:rPr>
              <w:t>H5</w:t>
            </w:r>
          </w:p>
        </w:tc>
        <w:tc>
          <w:tcPr>
            <w:tcW w:type="dxa" w:w="3175"/>
            <w:tcMar>
              <w:top w:w="60" w:type="dxa"/>
              <w:left w:w="90" w:type="dxa"/>
              <w:bottom w:w="60" w:type="dxa"/>
              <w:right w:w="90" w:type="dxa"/>
            </w:tcMar>
            <w:vAlign w:val="center"/>
          </w:tcPr>
          <w:p>
            <w:pPr>
              <w:spacing w:after="0"/>
            </w:pPr>
            <w:r>
              <w:rPr>
                <w:rFonts w:ascii="Calibri" w:hAnsi="Calibri" w:eastAsia="Calibri"/>
                <w:b/>
                <w:sz w:val="17"/>
              </w:rPr>
              <w:t>Hay una alta demanda de proyectos con empresas reales</w:t>
            </w:r>
            <w:r>
              <w:rPr>
                <w:rFonts w:ascii="Calibri" w:hAnsi="Calibri" w:eastAsia="Calibri"/>
                <w:sz w:val="17"/>
              </w:rPr>
              <w:t xml:space="preserve"> (P15).</w:t>
            </w:r>
          </w:p>
        </w:tc>
        <w:tc>
          <w:tcPr>
            <w:tcW w:type="dxa" w:w="2494"/>
            <w:tcMar>
              <w:top w:w="60" w:type="dxa"/>
              <w:left w:w="90" w:type="dxa"/>
              <w:bottom w:w="60" w:type="dxa"/>
              <w:right w:w="90" w:type="dxa"/>
            </w:tcMar>
            <w:vAlign w:val="center"/>
          </w:tcPr>
          <w:p>
            <w:pPr>
              <w:spacing w:after="0"/>
            </w:pPr>
            <w:r>
              <w:rPr>
                <w:rFonts w:ascii="Calibri" w:hAnsi="Calibri" w:eastAsia="Calibri"/>
                <w:sz w:val="17"/>
              </w:rPr>
              <w:t>P15 · práctica previa · año</w:t>
            </w:r>
          </w:p>
        </w:tc>
        <w:tc>
          <w:tcPr>
            <w:tcW w:type="dxa" w:w="2778"/>
            <w:tcMar>
              <w:top w:w="60" w:type="dxa"/>
              <w:left w:w="90" w:type="dxa"/>
              <w:bottom w:w="60" w:type="dxa"/>
              <w:right w:w="90" w:type="dxa"/>
            </w:tcMar>
            <w:vAlign w:val="center"/>
          </w:tcPr>
          <w:p>
            <w:pPr>
              <w:spacing w:after="0"/>
            </w:pPr>
            <w:r>
              <w:rPr>
                <w:rFonts w:ascii="Calibri" w:hAnsi="Calibri" w:eastAsia="Calibri"/>
                <w:sz w:val="17"/>
              </w:rPr>
              <w:t>Más de 70 % de acuerdo (p &lt; 0,05 frente a 70 %).</w:t>
            </w:r>
          </w:p>
        </w:tc>
      </w:tr>
      <w:tr>
        <w:trPr>
          <w:cantSplit/>
        </w:trPr>
        <w:tc>
          <w:tcPr>
            <w:tcW w:type="dxa" w:w="964"/>
            <w:tcMar>
              <w:top w:w="60" w:type="dxa"/>
              <w:left w:w="90" w:type="dxa"/>
              <w:bottom w:w="60" w:type="dxa"/>
              <w:right w:w="90" w:type="dxa"/>
            </w:tcMar>
            <w:vAlign w:val="center"/>
            <w:shd w:val="clear" w:color="auto" w:fill="F7F9FC"/>
            <w:shd w:val="clear" w:color="auto" w:fill="8892A6"/>
          </w:tcPr>
          <w:p>
            <w:pPr>
              <w:spacing w:after="0"/>
            </w:pPr>
            <w:r>
              <w:rPr>
                <w:rFonts w:ascii="Calibri" w:hAnsi="Calibri" w:eastAsia="Calibri"/>
                <w:b/>
                <w:color w:val="FFFFFF"/>
                <w:sz w:val="17"/>
              </w:rPr>
              <w:t>H6</w:t>
            </w:r>
          </w:p>
        </w:tc>
        <w:tc>
          <w:tcPr>
            <w:tcW w:type="dxa" w:w="3175"/>
            <w:tcMar>
              <w:top w:w="60" w:type="dxa"/>
              <w:left w:w="90" w:type="dxa"/>
              <w:bottom w:w="60" w:type="dxa"/>
              <w:right w:w="90" w:type="dxa"/>
            </w:tcMar>
            <w:vAlign w:val="center"/>
            <w:shd w:val="clear" w:color="auto" w:fill="F7F9FC"/>
          </w:tcPr>
          <w:p>
            <w:pPr>
              <w:spacing w:after="0"/>
            </w:pPr>
            <w:r>
              <w:rPr>
                <w:rFonts w:ascii="Calibri" w:hAnsi="Calibri" w:eastAsia="Calibri"/>
                <w:b/>
                <w:sz w:val="17"/>
              </w:rPr>
              <w:t>La participación en La Puerta mejora los resultados entre el antes y el después, frente a un grupo de comparación.</w:t>
            </w:r>
          </w:p>
        </w:tc>
        <w:tc>
          <w:tcPr>
            <w:tcW w:type="dxa" w:w="2494"/>
            <w:tcMar>
              <w:top w:w="60" w:type="dxa"/>
              <w:left w:w="90" w:type="dxa"/>
              <w:bottom w:w="60" w:type="dxa"/>
              <w:right w:w="90" w:type="dxa"/>
            </w:tcMar>
            <w:vAlign w:val="center"/>
            <w:shd w:val="clear" w:color="auto" w:fill="F7F9FC"/>
          </w:tcPr>
          <w:p>
            <w:pPr>
              <w:spacing w:after="0"/>
            </w:pPr>
            <w:r>
              <w:rPr>
                <w:rFonts w:ascii="Calibri" w:hAnsi="Calibri" w:eastAsia="Calibri"/>
                <w:sz w:val="17"/>
              </w:rPr>
              <w:t>Código, momento (pre/post), grupo (piloto/control)</w:t>
            </w:r>
          </w:p>
        </w:tc>
        <w:tc>
          <w:tcPr>
            <w:tcW w:type="dxa" w:w="2778"/>
            <w:tcMar>
              <w:top w:w="60" w:type="dxa"/>
              <w:left w:w="90" w:type="dxa"/>
              <w:bottom w:w="60" w:type="dxa"/>
              <w:right w:w="90" w:type="dxa"/>
            </w:tcMar>
            <w:vAlign w:val="center"/>
            <w:shd w:val="clear" w:color="auto" w:fill="F7F9FC"/>
          </w:tcPr>
          <w:p>
            <w:pPr>
              <w:spacing w:after="0"/>
            </w:pPr>
            <w:r>
              <w:rPr>
                <w:rFonts w:ascii="Calibri" w:hAnsi="Calibri" w:eastAsia="Calibri"/>
                <w:sz w:val="17"/>
              </w:rPr>
              <w:t xml:space="preserve">Requiere los tres campos. </w:t>
            </w:r>
            <w:r>
              <w:rPr>
                <w:rFonts w:ascii="Calibri" w:hAnsi="Calibri" w:eastAsia="Calibri"/>
                <w:b/>
                <w:sz w:val="17"/>
              </w:rPr>
              <w:t>Hoy no evaluable.</w:t>
            </w:r>
          </w:p>
        </w:tc>
      </w:tr>
    </w:tbl>
    <w:p>
      <w:pPr>
        <w:spacing w:after="40"/>
      </w:pP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4C8BD6"/>
            <w:tcMar>
              <w:top w:w="0" w:type="dxa"/>
              <w:left w:w="0" w:type="dxa"/>
              <w:bottom w:w="0" w:type="dxa"/>
              <w:right w:w="0" w:type="dxa"/>
            </w:tcMar>
          </w:tcPr>
          <w:p/>
        </w:tc>
        <w:tc>
          <w:tcPr>
            <w:tcW w:type="dxa" w:w="9213"/>
            <w:shd w:val="clear" w:color="auto" w:fill="EEF4FB"/>
            <w:tcMar>
              <w:top w:w="120" w:type="dxa"/>
              <w:left w:w="200" w:type="dxa"/>
              <w:bottom w:w="120" w:type="dxa"/>
              <w:right w:w="160" w:type="dxa"/>
            </w:tcMar>
          </w:tcPr>
          <w:p>
            <w:pPr>
              <w:spacing w:after="40"/>
            </w:pPr>
            <w:r>
              <w:rPr>
                <w:rFonts w:ascii="Calibri" w:hAnsi="Calibri" w:eastAsia="Calibri"/>
                <w:b/>
                <w:color w:val="4C8BD6"/>
                <w:sz w:val="21"/>
              </w:rPr>
              <w:t>Un aviso sobre el instrumento</w:t>
            </w:r>
          </w:p>
          <w:p>
            <w:pPr>
              <w:spacing w:after="40"/>
            </w:pPr>
            <w:r>
              <w:rPr>
                <w:rFonts w:ascii="Calibri" w:hAnsi="Calibri" w:eastAsia="Calibri"/>
                <w:sz w:val="20"/>
              </w:rPr>
              <w:t xml:space="preserve">El Informe Metodológico describe seis dimensiones (práctica previa A02–A04 y cinco de habilidades blandas: COM, EQ, AUT, RES, ET). La encuesta aplicada mide </w:t>
            </w:r>
            <w:r>
              <w:rPr>
                <w:rFonts w:ascii="Calibri" w:hAnsi="Calibri" w:eastAsia="Calibri"/>
                <w:b/>
                <w:sz w:val="20"/>
              </w:rPr>
              <w:t>15 afirmaciones en cinco dimensiones distintas (D1–D5)</w:t>
            </w:r>
            <w:r>
              <w:rPr>
                <w:rFonts w:ascii="Calibri" w:hAnsi="Calibri" w:eastAsia="Calibri"/>
                <w:sz w:val="20"/>
              </w:rPr>
              <w:t xml:space="preserve"> y no incluye las preguntas A03 (impacto percibido de la práctica previa) ni A04 (valoración formativa de la experiencia). Para contrastar H1 se construyó una </w:t>
            </w:r>
            <w:r>
              <w:rPr>
                <w:rFonts w:ascii="Calibri" w:hAnsi="Calibri" w:eastAsia="Calibri"/>
                <w:b/>
                <w:sz w:val="20"/>
              </w:rPr>
              <w:t>equivalencia</w:t>
            </w:r>
            <w:r>
              <w:rPr>
                <w:rFonts w:ascii="Calibri" w:hAnsi="Calibri" w:eastAsia="Calibri"/>
                <w:sz w:val="20"/>
              </w:rPr>
              <w:t xml:space="preserve"> entre ambos instrumentos [INTERPRETACIÓN]: Comunicación ≈ P04 y P11; Trabajo en equipo ≈ P07; Autonomía ≈ P03 y P08; Resiliencia ≈ P13; Ética ≈ P14. Es una aproximación razonable, no una medición idéntica.</w:t>
            </w:r>
          </w:p>
        </w:tc>
      </w:tr>
    </w:tbl>
    <w:p>
      <w:pPr>
        <w:spacing w:after="40"/>
      </w:pPr>
    </w:p>
    <w:p>
      <w:pPr>
        <w:pStyle w:val="Heading1"/>
        <w:pageBreakBefore/>
      </w:pPr>
      <w:r>
        <w:t>3. Metodología de análisis</w:t>
      </w:r>
    </w:p>
    <w:p>
      <w:r>
        <w:rPr>
          <w:rFonts w:ascii="Calibri" w:hAnsi="Calibri" w:eastAsia="Calibri"/>
        </w:rPr>
        <w:t>Pensamos esta sección como si tuviéramos que explicársela a un colega que no es estadístico. Para cada pregunta hay una herramienta; estas son las que usamos y por qué.</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2494"/>
        <w:gridCol w:w="3175"/>
        <w:gridCol w:w="3742"/>
      </w:tblGrid>
      <w:tr>
        <w:trPr>
          <w:tblHeader w:val="true"/>
        </w:trPr>
        <w:tc>
          <w:tcPr>
            <w:tcW w:type="dxa" w:w="2494"/>
            <w:shd w:val="clear" w:color="auto" w:fill="1B2A49"/>
            <w:tcMar>
              <w:top w:w="70" w:type="dxa"/>
              <w:left w:w="90" w:type="dxa"/>
              <w:bottom w:w="70" w:type="dxa"/>
              <w:right w:w="90" w:type="dxa"/>
            </w:tcMar>
          </w:tcPr>
          <w:p>
            <w:pPr>
              <w:spacing w:after="0"/>
            </w:pPr>
            <w:r>
              <w:rPr>
                <w:rFonts w:ascii="Calibri" w:hAnsi="Calibri" w:eastAsia="Calibri"/>
                <w:b/>
                <w:color w:val="FFFFFF"/>
                <w:sz w:val="17"/>
              </w:rPr>
              <w:t>Pregunta</w:t>
            </w:r>
          </w:p>
        </w:tc>
        <w:tc>
          <w:tcPr>
            <w:tcW w:type="dxa" w:w="3175"/>
            <w:shd w:val="clear" w:color="auto" w:fill="1B2A49"/>
            <w:tcMar>
              <w:top w:w="70" w:type="dxa"/>
              <w:left w:w="90" w:type="dxa"/>
              <w:bottom w:w="70" w:type="dxa"/>
              <w:right w:w="90" w:type="dxa"/>
            </w:tcMar>
          </w:tcPr>
          <w:p>
            <w:pPr>
              <w:spacing w:after="0"/>
            </w:pPr>
            <w:r>
              <w:rPr>
                <w:rFonts w:ascii="Calibri" w:hAnsi="Calibri" w:eastAsia="Calibri"/>
                <w:b/>
                <w:color w:val="FFFFFF"/>
                <w:sz w:val="17"/>
              </w:rPr>
              <w:t>Herramienta</w:t>
            </w:r>
          </w:p>
        </w:tc>
        <w:tc>
          <w:tcPr>
            <w:tcW w:type="dxa" w:w="3742"/>
            <w:shd w:val="clear" w:color="auto" w:fill="1B2A49"/>
            <w:tcMar>
              <w:top w:w="70" w:type="dxa"/>
              <w:left w:w="90" w:type="dxa"/>
              <w:bottom w:w="70" w:type="dxa"/>
              <w:right w:w="90" w:type="dxa"/>
            </w:tcMar>
          </w:tcPr>
          <w:p>
            <w:pPr>
              <w:spacing w:after="0"/>
            </w:pPr>
            <w:r>
              <w:rPr>
                <w:rFonts w:ascii="Calibri" w:hAnsi="Calibri" w:eastAsia="Calibri"/>
                <w:b/>
                <w:color w:val="FFFFFF"/>
                <w:sz w:val="17"/>
              </w:rPr>
              <w:t>Por qué esta y no otra</w:t>
            </w:r>
          </w:p>
        </w:tc>
      </w:tr>
      <w:tr>
        <w:trPr>
          <w:cantSplit/>
        </w:trPr>
        <w:tc>
          <w:tcPr>
            <w:tcW w:type="dxa" w:w="2494"/>
            <w:tcMar>
              <w:top w:w="60" w:type="dxa"/>
              <w:left w:w="90" w:type="dxa"/>
              <w:bottom w:w="60" w:type="dxa"/>
              <w:right w:w="90" w:type="dxa"/>
            </w:tcMar>
            <w:vAlign w:val="center"/>
          </w:tcPr>
          <w:p>
            <w:pPr>
              <w:spacing w:after="0"/>
            </w:pPr>
            <w:r>
              <w:rPr>
                <w:rFonts w:ascii="Calibri" w:hAnsi="Calibri" w:eastAsia="Calibri"/>
                <w:sz w:val="17"/>
              </w:rPr>
              <w:t>¿Dos grupos (con/sin práctica) puntúan distinto?</w:t>
            </w:r>
          </w:p>
        </w:tc>
        <w:tc>
          <w:tcPr>
            <w:tcW w:type="dxa" w:w="3175"/>
            <w:tcMar>
              <w:top w:w="60" w:type="dxa"/>
              <w:left w:w="90" w:type="dxa"/>
              <w:bottom w:w="60" w:type="dxa"/>
              <w:right w:w="90" w:type="dxa"/>
            </w:tcMar>
            <w:vAlign w:val="center"/>
          </w:tcPr>
          <w:p>
            <w:pPr>
              <w:spacing w:after="0"/>
            </w:pPr>
            <w:r>
              <w:rPr>
                <w:rFonts w:ascii="Calibri" w:hAnsi="Calibri" w:eastAsia="Calibri"/>
                <w:sz w:val="17"/>
              </w:rPr>
              <w:t>Prueba t de Welch (la del informe metodológico, sin suponer varianzas iguales) y, como control, U de Mann-Whitney</w:t>
            </w:r>
          </w:p>
        </w:tc>
        <w:tc>
          <w:tcPr>
            <w:tcW w:type="dxa" w:w="3742"/>
            <w:tcMar>
              <w:top w:w="60" w:type="dxa"/>
              <w:left w:w="90" w:type="dxa"/>
              <w:bottom w:w="60" w:type="dxa"/>
              <w:right w:w="90" w:type="dxa"/>
            </w:tcMar>
            <w:vAlign w:val="center"/>
          </w:tcPr>
          <w:p>
            <w:pPr>
              <w:spacing w:after="0"/>
            </w:pPr>
            <w:r>
              <w:rPr>
                <w:rFonts w:ascii="Calibri" w:hAnsi="Calibri" w:eastAsia="Calibri"/>
                <w:sz w:val="17"/>
              </w:rPr>
              <w:t>La escala es de opinión (ordinal); si ambas pruebas coinciden, la conclusión es más confiable (Norman, 2010; Mann y Whitney, 1947).</w:t>
            </w:r>
          </w:p>
        </w:tc>
      </w:tr>
      <w:tr>
        <w:trPr>
          <w:cantSplit/>
        </w:trPr>
        <w:tc>
          <w:tcPr>
            <w:tcW w:type="dxa" w:w="2494"/>
            <w:tcMar>
              <w:top w:w="60" w:type="dxa"/>
              <w:left w:w="90" w:type="dxa"/>
              <w:bottom w:w="60" w:type="dxa"/>
              <w:right w:w="90" w:type="dxa"/>
            </w:tcMar>
            <w:vAlign w:val="center"/>
            <w:shd w:val="clear" w:color="auto" w:fill="F7F9FC"/>
          </w:tcPr>
          <w:p>
            <w:pPr>
              <w:spacing w:after="0"/>
            </w:pPr>
            <w:r>
              <w:rPr>
                <w:rFonts w:ascii="Calibri" w:hAnsi="Calibri" w:eastAsia="Calibri"/>
                <w:sz w:val="17"/>
              </w:rPr>
              <w:t>¿Qué tan grande es la diferencia?</w:t>
            </w:r>
          </w:p>
        </w:tc>
        <w:tc>
          <w:tcPr>
            <w:tcW w:type="dxa" w:w="3175"/>
            <w:tcMar>
              <w:top w:w="60" w:type="dxa"/>
              <w:left w:w="90" w:type="dxa"/>
              <w:bottom w:w="60" w:type="dxa"/>
              <w:right w:w="90" w:type="dxa"/>
            </w:tcMar>
            <w:vAlign w:val="center"/>
            <w:shd w:val="clear" w:color="auto" w:fill="F7F9FC"/>
          </w:tcPr>
          <w:p>
            <w:pPr>
              <w:spacing w:after="0"/>
            </w:pPr>
            <w:r>
              <w:rPr>
                <w:rFonts w:ascii="Calibri" w:hAnsi="Calibri" w:eastAsia="Calibri"/>
                <w:sz w:val="17"/>
              </w:rPr>
              <w:t>Diferencia de promedios con intervalo de confianza; d de Cohen; probabilidad de superioridad</w:t>
            </w:r>
          </w:p>
        </w:tc>
        <w:tc>
          <w:tcPr>
            <w:tcW w:type="dxa" w:w="3742"/>
            <w:tcMar>
              <w:top w:w="60" w:type="dxa"/>
              <w:left w:w="90" w:type="dxa"/>
              <w:bottom w:w="60" w:type="dxa"/>
              <w:right w:w="90" w:type="dxa"/>
            </w:tcMar>
            <w:vAlign w:val="center"/>
            <w:shd w:val="clear" w:color="auto" w:fill="F7F9FC"/>
          </w:tcPr>
          <w:p>
            <w:pPr>
              <w:spacing w:after="0"/>
            </w:pPr>
            <w:r>
              <w:rPr>
                <w:rFonts w:ascii="Calibri" w:hAnsi="Calibri" w:eastAsia="Calibri"/>
                <w:sz w:val="17"/>
              </w:rPr>
              <w:t xml:space="preserve">Un valor p solo dice si algo es «raro»; el tamaño dice si </w:t>
            </w:r>
            <w:r>
              <w:rPr>
                <w:rFonts w:ascii="Calibri" w:hAnsi="Calibri" w:eastAsia="Calibri"/>
                <w:b/>
                <w:sz w:val="17"/>
              </w:rPr>
              <w:t>importa</w:t>
            </w:r>
            <w:r>
              <w:rPr>
                <w:rFonts w:ascii="Calibri" w:hAnsi="Calibri" w:eastAsia="Calibri"/>
                <w:sz w:val="17"/>
              </w:rPr>
              <w:t xml:space="preserve"> (Cohen, 1988; Vargha y Delaney, 2000).</w:t>
            </w:r>
          </w:p>
        </w:tc>
      </w:tr>
      <w:tr>
        <w:trPr>
          <w:cantSplit/>
        </w:trPr>
        <w:tc>
          <w:tcPr>
            <w:tcW w:type="dxa" w:w="2494"/>
            <w:tcMar>
              <w:top w:w="60" w:type="dxa"/>
              <w:left w:w="90" w:type="dxa"/>
              <w:bottom w:w="60" w:type="dxa"/>
              <w:right w:w="90" w:type="dxa"/>
            </w:tcMar>
            <w:vAlign w:val="center"/>
          </w:tcPr>
          <w:p>
            <w:pPr>
              <w:spacing w:after="0"/>
            </w:pPr>
            <w:r>
              <w:rPr>
                <w:rFonts w:ascii="Calibri" w:hAnsi="Calibri" w:eastAsia="Calibri"/>
                <w:sz w:val="17"/>
              </w:rPr>
              <w:t>¿Hay una relación entre dos afirmaciones?</w:t>
            </w:r>
          </w:p>
        </w:tc>
        <w:tc>
          <w:tcPr>
            <w:tcW w:type="dxa" w:w="3175"/>
            <w:tcMar>
              <w:top w:w="60" w:type="dxa"/>
              <w:left w:w="90" w:type="dxa"/>
              <w:bottom w:w="60" w:type="dxa"/>
              <w:right w:w="90" w:type="dxa"/>
            </w:tcMar>
            <w:vAlign w:val="center"/>
          </w:tcPr>
          <w:p>
            <w:pPr>
              <w:spacing w:after="0"/>
            </w:pPr>
            <w:r>
              <w:rPr>
                <w:rFonts w:ascii="Calibri" w:hAnsi="Calibri" w:eastAsia="Calibri"/>
                <w:sz w:val="17"/>
              </w:rPr>
              <w:t>Correlación de Spearman (rho)</w:t>
            </w:r>
          </w:p>
        </w:tc>
        <w:tc>
          <w:tcPr>
            <w:tcW w:type="dxa" w:w="3742"/>
            <w:tcMar>
              <w:top w:w="60" w:type="dxa"/>
              <w:left w:w="90" w:type="dxa"/>
              <w:bottom w:w="60" w:type="dxa"/>
              <w:right w:w="90" w:type="dxa"/>
            </w:tcMar>
            <w:vAlign w:val="center"/>
          </w:tcPr>
          <w:p>
            <w:pPr>
              <w:spacing w:after="0"/>
            </w:pPr>
            <w:r>
              <w:rPr>
                <w:rFonts w:ascii="Calibri" w:hAnsi="Calibri" w:eastAsia="Calibri"/>
                <w:sz w:val="17"/>
              </w:rPr>
              <w:t>Trabaja con rangos; no exige escala perfecta.</w:t>
            </w:r>
          </w:p>
        </w:tc>
      </w:tr>
      <w:tr>
        <w:trPr>
          <w:cantSplit/>
        </w:trPr>
        <w:tc>
          <w:tcPr>
            <w:tcW w:type="dxa" w:w="2494"/>
            <w:tcMar>
              <w:top w:w="60" w:type="dxa"/>
              <w:left w:w="90" w:type="dxa"/>
              <w:bottom w:w="60" w:type="dxa"/>
              <w:right w:w="90" w:type="dxa"/>
            </w:tcMar>
            <w:vAlign w:val="center"/>
            <w:shd w:val="clear" w:color="auto" w:fill="F7F9FC"/>
          </w:tcPr>
          <w:p>
            <w:pPr>
              <w:spacing w:after="0"/>
            </w:pPr>
            <w:r>
              <w:rPr>
                <w:rFonts w:ascii="Calibri" w:hAnsi="Calibri" w:eastAsia="Calibri"/>
                <w:sz w:val="17"/>
              </w:rPr>
              <w:t>¿Cambian los resultados entre tres años de estudio?</w:t>
            </w:r>
          </w:p>
        </w:tc>
        <w:tc>
          <w:tcPr>
            <w:tcW w:type="dxa" w:w="3175"/>
            <w:tcMar>
              <w:top w:w="60" w:type="dxa"/>
              <w:left w:w="90" w:type="dxa"/>
              <w:bottom w:w="60" w:type="dxa"/>
              <w:right w:w="90" w:type="dxa"/>
            </w:tcMar>
            <w:vAlign w:val="center"/>
            <w:shd w:val="clear" w:color="auto" w:fill="F7F9FC"/>
          </w:tcPr>
          <w:p>
            <w:pPr>
              <w:spacing w:after="0"/>
            </w:pPr>
            <w:r>
              <w:rPr>
                <w:rFonts w:ascii="Calibri" w:hAnsi="Calibri" w:eastAsia="Calibri"/>
                <w:sz w:val="17"/>
              </w:rPr>
              <w:t>Prueba de Kruskal-Wallis y correlación de Spearman</w:t>
            </w:r>
          </w:p>
        </w:tc>
        <w:tc>
          <w:tcPr>
            <w:tcW w:type="dxa" w:w="3742"/>
            <w:tcMar>
              <w:top w:w="60" w:type="dxa"/>
              <w:left w:w="90" w:type="dxa"/>
              <w:bottom w:w="60" w:type="dxa"/>
              <w:right w:w="90" w:type="dxa"/>
            </w:tcMar>
            <w:vAlign w:val="center"/>
            <w:shd w:val="clear" w:color="auto" w:fill="F7F9FC"/>
          </w:tcPr>
          <w:p>
            <w:pPr>
              <w:spacing w:after="0"/>
            </w:pPr>
            <w:r>
              <w:rPr>
                <w:rFonts w:ascii="Calibri" w:hAnsi="Calibri" w:eastAsia="Calibri"/>
                <w:sz w:val="17"/>
              </w:rPr>
              <w:t>Alternativa a ANOVA para datos ordinales (Kruskal y Wallis, 1952).</w:t>
            </w:r>
          </w:p>
        </w:tc>
      </w:tr>
      <w:tr>
        <w:trPr>
          <w:cantSplit/>
        </w:trPr>
        <w:tc>
          <w:tcPr>
            <w:tcW w:type="dxa" w:w="2494"/>
            <w:tcMar>
              <w:top w:w="60" w:type="dxa"/>
              <w:left w:w="90" w:type="dxa"/>
              <w:bottom w:w="60" w:type="dxa"/>
              <w:right w:w="90" w:type="dxa"/>
            </w:tcMar>
            <w:vAlign w:val="center"/>
          </w:tcPr>
          <w:p>
            <w:pPr>
              <w:spacing w:after="0"/>
            </w:pPr>
            <w:r>
              <w:rPr>
                <w:rFonts w:ascii="Calibri" w:hAnsi="Calibri" w:eastAsia="Calibri"/>
                <w:sz w:val="17"/>
              </w:rPr>
              <w:t>¿Una dimensión es más baja que otras en las mismas personas?</w:t>
            </w:r>
          </w:p>
        </w:tc>
        <w:tc>
          <w:tcPr>
            <w:tcW w:type="dxa" w:w="3175"/>
            <w:tcMar>
              <w:top w:w="60" w:type="dxa"/>
              <w:left w:w="90" w:type="dxa"/>
              <w:bottom w:w="60" w:type="dxa"/>
              <w:right w:w="90" w:type="dxa"/>
            </w:tcMar>
            <w:vAlign w:val="center"/>
          </w:tcPr>
          <w:p>
            <w:pPr>
              <w:spacing w:after="0"/>
            </w:pPr>
            <w:r>
              <w:rPr>
                <w:rFonts w:ascii="Calibri" w:hAnsi="Calibri" w:eastAsia="Calibri"/>
                <w:sz w:val="17"/>
              </w:rPr>
              <w:t>Prueba de Friedman y comparaciones de Wilcoxon por pares</w:t>
            </w:r>
          </w:p>
        </w:tc>
        <w:tc>
          <w:tcPr>
            <w:tcW w:type="dxa" w:w="3742"/>
            <w:tcMar>
              <w:top w:w="60" w:type="dxa"/>
              <w:left w:w="90" w:type="dxa"/>
              <w:bottom w:w="60" w:type="dxa"/>
              <w:right w:w="90" w:type="dxa"/>
            </w:tcMar>
            <w:vAlign w:val="center"/>
          </w:tcPr>
          <w:p>
            <w:pPr>
              <w:spacing w:after="0"/>
            </w:pPr>
            <w:r>
              <w:rPr>
                <w:rFonts w:ascii="Calibri" w:hAnsi="Calibri" w:eastAsia="Calibri"/>
                <w:sz w:val="17"/>
              </w:rPr>
              <w:t>Compara medidas repetidas en las mismas personas.</w:t>
            </w:r>
          </w:p>
        </w:tc>
      </w:tr>
      <w:tr>
        <w:trPr>
          <w:cantSplit/>
        </w:trPr>
        <w:tc>
          <w:tcPr>
            <w:tcW w:type="dxa" w:w="2494"/>
            <w:tcMar>
              <w:top w:w="60" w:type="dxa"/>
              <w:left w:w="90" w:type="dxa"/>
              <w:bottom w:w="60" w:type="dxa"/>
              <w:right w:w="90" w:type="dxa"/>
            </w:tcMar>
            <w:vAlign w:val="center"/>
            <w:shd w:val="clear" w:color="auto" w:fill="F7F9FC"/>
          </w:tcPr>
          <w:p>
            <w:pPr>
              <w:spacing w:after="0"/>
            </w:pPr>
            <w:r>
              <w:rPr>
                <w:rFonts w:ascii="Calibri" w:hAnsi="Calibri" w:eastAsia="Calibri"/>
                <w:sz w:val="17"/>
              </w:rPr>
              <w:t>¿Qué pesa más para explicar la seguridad de adaptarse?</w:t>
            </w:r>
          </w:p>
        </w:tc>
        <w:tc>
          <w:tcPr>
            <w:tcW w:type="dxa" w:w="3175"/>
            <w:tcMar>
              <w:top w:w="60" w:type="dxa"/>
              <w:left w:w="90" w:type="dxa"/>
              <w:bottom w:w="60" w:type="dxa"/>
              <w:right w:w="90" w:type="dxa"/>
            </w:tcMar>
            <w:vAlign w:val="center"/>
            <w:shd w:val="clear" w:color="auto" w:fill="F7F9FC"/>
          </w:tcPr>
          <w:p>
            <w:pPr>
              <w:spacing w:after="0"/>
            </w:pPr>
            <w:r>
              <w:rPr>
                <w:rFonts w:ascii="Calibri" w:hAnsi="Calibri" w:eastAsia="Calibri"/>
                <w:sz w:val="17"/>
              </w:rPr>
              <w:t>Regresión lineal con errores robustos (HC3)</w:t>
            </w:r>
          </w:p>
        </w:tc>
        <w:tc>
          <w:tcPr>
            <w:tcW w:type="dxa" w:w="3742"/>
            <w:tcMar>
              <w:top w:w="60" w:type="dxa"/>
              <w:left w:w="90" w:type="dxa"/>
              <w:bottom w:w="60" w:type="dxa"/>
              <w:right w:w="90" w:type="dxa"/>
            </w:tcMar>
            <w:vAlign w:val="center"/>
            <w:shd w:val="clear" w:color="auto" w:fill="F7F9FC"/>
          </w:tcPr>
          <w:p>
            <w:pPr>
              <w:spacing w:after="0"/>
            </w:pPr>
            <w:r>
              <w:rPr>
                <w:rFonts w:ascii="Calibri" w:hAnsi="Calibri" w:eastAsia="Calibri"/>
                <w:sz w:val="17"/>
              </w:rPr>
              <w:t>Permite ver el aporte de cada variable manteniendo las demás constantes.</w:t>
            </w:r>
          </w:p>
        </w:tc>
      </w:tr>
      <w:tr>
        <w:trPr>
          <w:cantSplit/>
        </w:trPr>
        <w:tc>
          <w:tcPr>
            <w:tcW w:type="dxa" w:w="2494"/>
            <w:tcMar>
              <w:top w:w="60" w:type="dxa"/>
              <w:left w:w="90" w:type="dxa"/>
              <w:bottom w:w="60" w:type="dxa"/>
              <w:right w:w="90" w:type="dxa"/>
            </w:tcMar>
            <w:vAlign w:val="center"/>
          </w:tcPr>
          <w:p>
            <w:pPr>
              <w:spacing w:after="0"/>
            </w:pPr>
            <w:r>
              <w:rPr>
                <w:rFonts w:ascii="Calibri" w:hAnsi="Calibri" w:eastAsia="Calibri"/>
                <w:sz w:val="17"/>
              </w:rPr>
              <w:t>¿Es mayor al 70 %?</w:t>
            </w:r>
          </w:p>
        </w:tc>
        <w:tc>
          <w:tcPr>
            <w:tcW w:type="dxa" w:w="3175"/>
            <w:tcMar>
              <w:top w:w="60" w:type="dxa"/>
              <w:left w:w="90" w:type="dxa"/>
              <w:bottom w:w="60" w:type="dxa"/>
              <w:right w:w="90" w:type="dxa"/>
            </w:tcMar>
            <w:vAlign w:val="center"/>
          </w:tcPr>
          <w:p>
            <w:pPr>
              <w:spacing w:after="0"/>
            </w:pPr>
            <w:r>
              <w:rPr>
                <w:rFonts w:ascii="Calibri" w:hAnsi="Calibri" w:eastAsia="Calibri"/>
                <w:sz w:val="17"/>
              </w:rPr>
              <w:t>Prueba binomial exacta e intervalo de Wilson</w:t>
            </w:r>
          </w:p>
        </w:tc>
        <w:tc>
          <w:tcPr>
            <w:tcW w:type="dxa" w:w="3742"/>
            <w:tcMar>
              <w:top w:w="60" w:type="dxa"/>
              <w:left w:w="90" w:type="dxa"/>
              <w:bottom w:w="60" w:type="dxa"/>
              <w:right w:w="90" w:type="dxa"/>
            </w:tcMar>
            <w:vAlign w:val="center"/>
          </w:tcPr>
          <w:p>
            <w:pPr>
              <w:spacing w:after="0"/>
            </w:pPr>
            <w:r>
              <w:rPr>
                <w:rFonts w:ascii="Calibri" w:hAnsi="Calibri" w:eastAsia="Calibri"/>
                <w:sz w:val="17"/>
              </w:rPr>
              <w:t>Apropiada para porcentajes.</w:t>
            </w:r>
          </w:p>
        </w:tc>
      </w:tr>
    </w:tbl>
    <w:p>
      <w:pPr>
        <w:spacing w:after="40"/>
      </w:pPr>
    </w:p>
    <w:p>
      <w:pPr>
        <w:pStyle w:val="Heading3"/>
      </w:pPr>
      <w:r>
        <w:t>Reglas para no engañarnos</w:t>
      </w:r>
    </w:p>
    <w:p>
      <w:pPr>
        <w:pStyle w:val="ListBullet"/>
        <w:spacing w:after="60"/>
      </w:pPr>
      <w:r>
        <w:rPr>
          <w:rFonts w:ascii="Calibri" w:hAnsi="Calibri" w:eastAsia="Calibri"/>
          <w:b/>
        </w:rPr>
        <w:t>Varias pruebas a la vez aumentan el riesgo de «falsos hallazgos».</w:t>
      </w:r>
      <w:r>
        <w:rPr>
          <w:rFonts w:ascii="Calibri" w:hAnsi="Calibri" w:eastAsia="Calibri"/>
        </w:rPr>
        <w:t xml:space="preserve"> Por eso, cuando se hacen varias comparaciones en una misma familia, se aplica la corrección de Holm (1979) y se informan ambos valores p (sin y con corrección).</w:t>
      </w:r>
    </w:p>
    <w:p>
      <w:pPr>
        <w:pStyle w:val="ListBullet"/>
        <w:spacing w:after="60"/>
      </w:pPr>
      <w:r>
        <w:rPr>
          <w:rFonts w:ascii="Calibri" w:hAnsi="Calibri" w:eastAsia="Calibri"/>
          <w:b/>
        </w:rPr>
        <w:t>Nivel de significación:</w:t>
      </w:r>
      <w:r>
        <w:rPr>
          <w:rFonts w:ascii="Calibri" w:hAnsi="Calibri" w:eastAsia="Calibri"/>
        </w:rPr>
        <w:t xml:space="preserve"> 0,05, bilateral (puede haber diferencias en ambas direcciones).</w:t>
      </w:r>
    </w:p>
    <w:p>
      <w:pPr>
        <w:pStyle w:val="ListBullet"/>
        <w:spacing w:after="60"/>
      </w:pPr>
      <w:r>
        <w:rPr>
          <w:rFonts w:ascii="Calibri" w:hAnsi="Calibri" w:eastAsia="Calibri"/>
          <w:b/>
        </w:rPr>
        <w:t>Tamaño mínimo detectable:</w:t>
      </w:r>
      <w:r>
        <w:rPr>
          <w:rFonts w:ascii="Calibri" w:hAnsi="Calibri" w:eastAsia="Calibri"/>
        </w:rPr>
        <w:t xml:space="preserve"> con 72 estudiantes con práctica y 112 sin práctica, y una desviación típica de 0,67, la menor diferencia que esta muestra detecta de manera confiable (80 % de poder) es de unos </w:t>
      </w:r>
      <w:r>
        <w:rPr>
          <w:rFonts w:ascii="Calibri" w:hAnsi="Calibri" w:eastAsia="Calibri"/>
          <w:b/>
        </w:rPr>
        <w:t>0,28 puntos</w:t>
      </w:r>
      <w:r>
        <w:rPr>
          <w:rFonts w:ascii="Calibri" w:hAnsi="Calibri" w:eastAsia="Calibri"/>
        </w:rPr>
        <w:t xml:space="preserve"> (Cohen, 1988). Diferencias menores pueden existir pero quedarían «invisibles».</w:t>
      </w:r>
    </w:p>
    <w:p>
      <w:pPr>
        <w:pStyle w:val="ListBullet"/>
        <w:spacing w:after="60"/>
      </w:pPr>
      <w:r>
        <w:rPr>
          <w:rFonts w:ascii="Calibri" w:hAnsi="Calibri" w:eastAsia="Calibri"/>
          <w:b/>
        </w:rPr>
        <w:t>Robustez:</w:t>
      </w:r>
      <w:r>
        <w:rPr>
          <w:rFonts w:ascii="Calibri" w:hAnsi="Calibri" w:eastAsia="Calibri"/>
        </w:rPr>
        <w:t xml:space="preserve"> se repitió la comparación principal sin las respuestas idénticas, sin otras escuelas y solo en primer año (Anexo 2).</w:t>
      </w:r>
    </w:p>
    <w:p>
      <w:pPr>
        <w:pStyle w:val="ListBullet"/>
        <w:spacing w:after="60"/>
      </w:pPr>
      <w:r>
        <w:rPr>
          <w:rFonts w:ascii="Calibri" w:hAnsi="Calibri" w:eastAsia="Calibri"/>
          <w:b/>
        </w:rPr>
        <w:t>Correlación no es causalidad.</w:t>
      </w:r>
      <w:r>
        <w:rPr>
          <w:rFonts w:ascii="Calibri" w:hAnsi="Calibri" w:eastAsia="Calibri"/>
        </w:rPr>
        <w:t xml:space="preserve"> Todos los datos son autopercepciones de una sola medición (Podsakoff et al., 2003); cuando se dice «se asocia», no se dice «causa».</w:t>
      </w:r>
    </w:p>
    <w:p>
      <w:pPr>
        <w:pStyle w:val="Heading1"/>
        <w:pageBreakBefore/>
      </w:pPr>
      <w:r>
        <w:t>4. Contraste e interpretación de las hipótesis</w:t>
      </w:r>
    </w:p>
    <w:p>
      <w:pPr>
        <w:pStyle w:val="Heading2"/>
      </w:pPr>
      <w:r>
        <w:t>4.1 H1 (central): la práctica previa amortigua la transición</w:t>
      </w:r>
    </w:p>
    <w:p>
      <w:pPr>
        <w:pStyle w:val="Heading3"/>
      </w:pPr>
      <w:r>
        <w:t>Qué esperaba el proyecto y qué muestran los datos</w:t>
      </w:r>
    </w:p>
    <w:p>
      <w:pPr>
        <w:keepNext/>
        <w:spacing w:after="40"/>
        <w:jc w:val="center"/>
      </w:pPr>
      <w:r>
        <w:drawing>
          <wp:inline xmlns:a="http://schemas.openxmlformats.org/drawingml/2006/main" xmlns:pic="http://schemas.openxmlformats.org/drawingml/2006/picture">
            <wp:extent cx="5832000" cy="2743608"/>
            <wp:docPr id="3" name="Picture 3"/>
            <wp:cNvGraphicFramePr>
              <a:graphicFrameLocks noChangeAspect="1"/>
            </wp:cNvGraphicFramePr>
            <a:graphic>
              <a:graphicData uri="http://schemas.openxmlformats.org/drawingml/2006/picture">
                <pic:pic>
                  <pic:nvPicPr>
                    <pic:cNvPr id="0" name="g21_criterios.png"/>
                    <pic:cNvPicPr/>
                  </pic:nvPicPr>
                  <pic:blipFill>
                    <a:blip r:embed="rId13"/>
                    <a:stretch>
                      <a:fillRect/>
                    </a:stretch>
                  </pic:blipFill>
                  <pic:spPr>
                    <a:xfrm>
                      <a:off x="0" y="0"/>
                      <a:ext cx="5832000" cy="2743608"/>
                    </a:xfrm>
                    <a:prstGeom prst="rect"/>
                  </pic:spPr>
                </pic:pic>
              </a:graphicData>
            </a:graphic>
          </wp:inline>
        </w:drawing>
      </w:r>
    </w:p>
    <w:p>
      <w:pPr>
        <w:spacing w:after="200"/>
        <w:jc w:val="center"/>
      </w:pPr>
      <w:r>
        <w:rPr>
          <w:rFonts w:ascii="Calibri" w:hAnsi="Calibri" w:eastAsia="Calibri"/>
          <w:i/>
          <w:color w:val="8892A6"/>
          <w:sz w:val="17"/>
        </w:rPr>
        <w:t>Figura 2. Criterios del Informe Metodológico frente a lo observado.</w:t>
      </w:r>
    </w:p>
    <w:p>
      <w:r>
        <w:rPr>
          <w:rFonts w:ascii="Calibri" w:hAnsi="Calibri" w:eastAsia="Calibri"/>
          <w:b/>
        </w:rPr>
        <w:t>1) Nivel de la cohorte.</w:t>
      </w:r>
      <w:r>
        <w:rPr>
          <w:rFonts w:ascii="Calibri" w:hAnsi="Calibri" w:eastAsia="Calibri"/>
        </w:rPr>
        <w:t xml:space="preserve"> El promedio es 3,87: por nivel cae en el Escenario 2 (3,50–4,10), no en el 1 (≥ 4,20) ni en el 3 (&lt; 3,50).</w:t>
      </w:r>
    </w:p>
    <w:p>
      <w:r>
        <w:rPr>
          <w:rFonts w:ascii="Calibri" w:hAnsi="Calibri" w:eastAsia="Calibri"/>
          <w:b/>
        </w:rPr>
        <w:t>2) Correlación.</w:t>
      </w:r>
      <w:r>
        <w:rPr>
          <w:rFonts w:ascii="Calibri" w:hAnsi="Calibri" w:eastAsia="Calibri"/>
        </w:rPr>
        <w:t xml:space="preserve"> La relación entre tener práctica previa y el índice global es r = 0,12 (intervalo de confianza 95 %: -0,01 a 0,26; p = 0,09). Es una relación </w:t>
      </w:r>
      <w:r>
        <w:rPr>
          <w:rFonts w:ascii="Calibri" w:hAnsi="Calibri" w:eastAsia="Calibri"/>
          <w:b/>
        </w:rPr>
        <w:t>débil</w:t>
      </w:r>
      <w:r>
        <w:rPr>
          <w:rFonts w:ascii="Calibri" w:hAnsi="Calibri" w:eastAsia="Calibri"/>
        </w:rPr>
        <w:t>, muy lejos del 0,45 anticipado. En términos cotidianos: saber si alguien ya hizo una práctica ayuda muy poco a adivinar cuánto puntúa.</w:t>
      </w:r>
    </w:p>
    <w:p>
      <w:r>
        <w:rPr>
          <w:rFonts w:ascii="Calibri" w:hAnsi="Calibri" w:eastAsia="Calibri"/>
          <w:b/>
        </w:rPr>
        <w:t>3) Brecha entre grupos.</w:t>
      </w:r>
      <w:r>
        <w:rPr>
          <w:rFonts w:ascii="Calibri" w:hAnsi="Calibri" w:eastAsia="Calibri"/>
        </w:rPr>
        <w:t xml:space="preserve"> Quienes tienen práctica previa obtienen </w:t>
      </w:r>
      <w:r>
        <w:rPr>
          <w:rFonts w:ascii="Calibri" w:hAnsi="Calibri" w:eastAsia="Calibri"/>
          <w:b/>
        </w:rPr>
        <w:t>3,97</w:t>
      </w:r>
      <w:r>
        <w:rPr>
          <w:rFonts w:ascii="Calibri" w:hAnsi="Calibri" w:eastAsia="Calibri"/>
        </w:rPr>
        <w:t xml:space="preserve"> y quienes no </w:t>
      </w:r>
      <w:r>
        <w:rPr>
          <w:rFonts w:ascii="Calibri" w:hAnsi="Calibri" w:eastAsia="Calibri"/>
          <w:b/>
        </w:rPr>
        <w:t>3,80</w:t>
      </w:r>
      <w:r>
        <w:rPr>
          <w:rFonts w:ascii="Calibri" w:hAnsi="Calibri" w:eastAsia="Calibri"/>
        </w:rPr>
        <w:t xml:space="preserve">: una diferencia de </w:t>
      </w:r>
      <w:r>
        <w:rPr>
          <w:rFonts w:ascii="Calibri" w:hAnsi="Calibri" w:eastAsia="Calibri"/>
          <w:b/>
        </w:rPr>
        <w:t>+0,17</w:t>
      </w:r>
      <w:r>
        <w:rPr>
          <w:rFonts w:ascii="Calibri" w:hAnsi="Calibri" w:eastAsia="Calibri"/>
        </w:rPr>
        <w:t xml:space="preserve"> puntos (intervalo 95 %: -0,02 a 0,36). La prueba t da p = 0,08 y la de Mann-Whitney p = 0,05; con la corrección por comparaciones múltiples, ninguna resiste (Holm ≥ 0,25). El tamaño del efecto es </w:t>
      </w:r>
      <w:r>
        <w:rPr>
          <w:rFonts w:ascii="Calibri" w:hAnsi="Calibri" w:eastAsia="Calibri"/>
          <w:b/>
        </w:rPr>
        <w:t>pequeño</w:t>
      </w:r>
      <w:r>
        <w:rPr>
          <w:rFonts w:ascii="Calibri" w:hAnsi="Calibri" w:eastAsia="Calibri"/>
        </w:rPr>
        <w:t xml:space="preserve"> (d = 0,26). El proyecto esperaba 0,8 a 1,2 puntos: </w:t>
      </w:r>
      <w:r>
        <w:rPr>
          <w:rFonts w:ascii="Calibri" w:hAnsi="Calibri" w:eastAsia="Calibri"/>
          <w:b/>
        </w:rPr>
        <w:t>los datos descartan una brecha de esa magnitud</w:t>
      </w:r>
      <w:r>
        <w:rPr>
          <w:rFonts w:ascii="Calibri" w:hAnsi="Calibri" w:eastAsia="Calibri"/>
        </w:rPr>
        <w:t>.</w:t>
      </w:r>
    </w:p>
    <w:p>
      <w:pPr>
        <w:keepNext/>
        <w:spacing w:after="40"/>
        <w:jc w:val="center"/>
      </w:pPr>
      <w:r>
        <w:drawing>
          <wp:inline xmlns:a="http://schemas.openxmlformats.org/drawingml/2006/main" xmlns:pic="http://schemas.openxmlformats.org/drawingml/2006/picture">
            <wp:extent cx="5832000" cy="2781790"/>
            <wp:docPr id="4" name="Picture 4"/>
            <wp:cNvGraphicFramePr>
              <a:graphicFrameLocks noChangeAspect="1"/>
            </wp:cNvGraphicFramePr>
            <a:graphic>
              <a:graphicData uri="http://schemas.openxmlformats.org/drawingml/2006/picture">
                <pic:pic>
                  <pic:nvPicPr>
                    <pic:cNvPr id="0" name="g06_practica.png"/>
                    <pic:cNvPicPr/>
                  </pic:nvPicPr>
                  <pic:blipFill>
                    <a:blip r:embed="rId14"/>
                    <a:stretch>
                      <a:fillRect/>
                    </a:stretch>
                  </pic:blipFill>
                  <pic:spPr>
                    <a:xfrm>
                      <a:off x="0" y="0"/>
                      <a:ext cx="5832000" cy="2781790"/>
                    </a:xfrm>
                    <a:prstGeom prst="rect"/>
                  </pic:spPr>
                </pic:pic>
              </a:graphicData>
            </a:graphic>
          </wp:inline>
        </w:drawing>
      </w:r>
    </w:p>
    <w:p>
      <w:pPr>
        <w:spacing w:after="200"/>
        <w:jc w:val="center"/>
      </w:pPr>
      <w:r>
        <w:rPr>
          <w:rFonts w:ascii="Calibri" w:hAnsi="Calibri" w:eastAsia="Calibri"/>
          <w:i/>
          <w:color w:val="8892A6"/>
          <w:sz w:val="17"/>
        </w:rPr>
        <w:t>Figura 3. Con y sin práctica previa, por dimensión.</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4C8BD6"/>
            <w:tcMar>
              <w:top w:w="0" w:type="dxa"/>
              <w:left w:w="0" w:type="dxa"/>
              <w:bottom w:w="0" w:type="dxa"/>
              <w:right w:w="0" w:type="dxa"/>
            </w:tcMar>
          </w:tcPr>
          <w:p/>
        </w:tc>
        <w:tc>
          <w:tcPr>
            <w:tcW w:type="dxa" w:w="9213"/>
            <w:shd w:val="clear" w:color="auto" w:fill="EEF4FB"/>
            <w:tcMar>
              <w:top w:w="120" w:type="dxa"/>
              <w:left w:w="200" w:type="dxa"/>
              <w:bottom w:w="120" w:type="dxa"/>
              <w:right w:w="160" w:type="dxa"/>
            </w:tcMar>
          </w:tcPr>
          <w:p>
            <w:pPr>
              <w:spacing w:after="40"/>
            </w:pPr>
            <w:r>
              <w:rPr>
                <w:rFonts w:ascii="Calibri" w:hAnsi="Calibri" w:eastAsia="Calibri"/>
                <w:b/>
                <w:color w:val="4C8BD6"/>
                <w:sz w:val="21"/>
              </w:rPr>
              <w:t>Cómo leer este gráfico</w:t>
            </w:r>
          </w:p>
          <w:p>
            <w:pPr>
              <w:spacing w:after="40"/>
            </w:pPr>
            <w:r>
              <w:rPr>
                <w:rFonts w:ascii="Calibri" w:hAnsi="Calibri" w:eastAsia="Calibri"/>
                <w:sz w:val="20"/>
              </w:rPr>
              <w:t>Cada fila compara dos puntos: el naranjo (sin práctica) y el verde azulado (con práctica). Cuanto más separados, mayor la diferencia. A la derecha: cuánto es y su valor p sin corregir. Las diferencias más visibles son en D1 y D3.</w:t>
            </w:r>
          </w:p>
        </w:tc>
      </w:tr>
    </w:tbl>
    <w:p>
      <w:pPr>
        <w:spacing w:after="40"/>
      </w:pPr>
    </w:p>
    <w:p>
      <w:pPr>
        <w:pStyle w:val="Heading3"/>
      </w:pPr>
      <w:r>
        <w:t>Equivalencia con las dimensiones del Informe Metodológico</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2608"/>
        <w:gridCol w:w="1020"/>
        <w:gridCol w:w="1020"/>
        <w:gridCol w:w="963"/>
        <w:gridCol w:w="1020"/>
        <w:gridCol w:w="907"/>
        <w:gridCol w:w="907"/>
        <w:gridCol w:w="963"/>
      </w:tblGrid>
      <w:tr>
        <w:trPr>
          <w:tblHeader w:val="true"/>
        </w:trPr>
        <w:tc>
          <w:tcPr>
            <w:tcW w:type="dxa" w:w="2608"/>
            <w:shd w:val="clear" w:color="auto" w:fill="1B2A49"/>
            <w:tcMar>
              <w:top w:w="70" w:type="dxa"/>
              <w:left w:w="90" w:type="dxa"/>
              <w:bottom w:w="70" w:type="dxa"/>
              <w:right w:w="90" w:type="dxa"/>
            </w:tcMar>
          </w:tcPr>
          <w:p>
            <w:pPr>
              <w:spacing w:after="0"/>
            </w:pPr>
            <w:r>
              <w:rPr>
                <w:rFonts w:ascii="Calibri" w:hAnsi="Calibri" w:eastAsia="Calibri"/>
                <w:b/>
                <w:color w:val="FFFFFF"/>
                <w:sz w:val="17"/>
              </w:rPr>
              <w:t>Dimensión (equivalencia)</w:t>
            </w:r>
          </w:p>
        </w:tc>
        <w:tc>
          <w:tcPr>
            <w:tcW w:type="dxa" w:w="1020"/>
            <w:shd w:val="clear" w:color="auto" w:fill="1B2A49"/>
            <w:tcMar>
              <w:top w:w="70" w:type="dxa"/>
              <w:left w:w="90" w:type="dxa"/>
              <w:bottom w:w="70" w:type="dxa"/>
              <w:right w:w="90" w:type="dxa"/>
            </w:tcMar>
          </w:tcPr>
          <w:p>
            <w:pPr>
              <w:spacing w:after="0"/>
            </w:pPr>
            <w:r>
              <w:rPr>
                <w:rFonts w:ascii="Calibri" w:hAnsi="Calibri" w:eastAsia="Calibri"/>
                <w:b/>
                <w:color w:val="FFFFFF"/>
                <w:sz w:val="17"/>
              </w:rPr>
              <w:t>Con práctica</w:t>
            </w:r>
          </w:p>
        </w:tc>
        <w:tc>
          <w:tcPr>
            <w:tcW w:type="dxa" w:w="1020"/>
            <w:shd w:val="clear" w:color="auto" w:fill="1B2A49"/>
            <w:tcMar>
              <w:top w:w="70" w:type="dxa"/>
              <w:left w:w="90" w:type="dxa"/>
              <w:bottom w:w="70" w:type="dxa"/>
              <w:right w:w="90" w:type="dxa"/>
            </w:tcMar>
          </w:tcPr>
          <w:p>
            <w:pPr>
              <w:spacing w:after="0"/>
            </w:pPr>
            <w:r>
              <w:rPr>
                <w:rFonts w:ascii="Calibri" w:hAnsi="Calibri" w:eastAsia="Calibri"/>
                <w:b/>
                <w:color w:val="FFFFFF"/>
                <w:sz w:val="17"/>
              </w:rPr>
              <w:t>Sin práctica</w:t>
            </w:r>
          </w:p>
        </w:tc>
        <w:tc>
          <w:tcPr>
            <w:tcW w:type="dxa" w:w="964"/>
            <w:shd w:val="clear" w:color="auto" w:fill="1B2A49"/>
            <w:tcMar>
              <w:top w:w="70" w:type="dxa"/>
              <w:left w:w="90" w:type="dxa"/>
              <w:bottom w:w="70" w:type="dxa"/>
              <w:right w:w="90" w:type="dxa"/>
            </w:tcMar>
          </w:tcPr>
          <w:p>
            <w:pPr>
              <w:spacing w:after="0"/>
            </w:pPr>
            <w:r>
              <w:rPr>
                <w:rFonts w:ascii="Calibri" w:hAnsi="Calibri" w:eastAsia="Calibri"/>
                <w:b/>
                <w:color w:val="FFFFFF"/>
                <w:sz w:val="17"/>
              </w:rPr>
              <w:t>Diferencia</w:t>
            </w:r>
          </w:p>
        </w:tc>
        <w:tc>
          <w:tcPr>
            <w:tcW w:type="dxa" w:w="1020"/>
            <w:shd w:val="clear" w:color="auto" w:fill="1B2A49"/>
            <w:tcMar>
              <w:top w:w="70" w:type="dxa"/>
              <w:left w:w="90" w:type="dxa"/>
              <w:bottom w:w="70" w:type="dxa"/>
              <w:right w:w="90" w:type="dxa"/>
            </w:tcMar>
          </w:tcPr>
          <w:p>
            <w:pPr>
              <w:spacing w:after="0"/>
            </w:pPr>
            <w:r>
              <w:rPr>
                <w:rFonts w:ascii="Calibri" w:hAnsi="Calibri" w:eastAsia="Calibri"/>
                <w:b/>
                <w:color w:val="FFFFFF"/>
                <w:sz w:val="17"/>
              </w:rPr>
              <w:t>Diferencia %</w:t>
            </w:r>
          </w:p>
        </w:tc>
        <w:tc>
          <w:tcPr>
            <w:tcW w:type="dxa" w:w="907"/>
            <w:shd w:val="clear" w:color="auto" w:fill="1B2A49"/>
            <w:tcMar>
              <w:top w:w="70" w:type="dxa"/>
              <w:left w:w="90" w:type="dxa"/>
              <w:bottom w:w="70" w:type="dxa"/>
              <w:right w:w="90" w:type="dxa"/>
            </w:tcMar>
          </w:tcPr>
          <w:p>
            <w:pPr>
              <w:spacing w:after="0"/>
            </w:pPr>
            <w:r>
              <w:rPr>
                <w:rFonts w:ascii="Calibri" w:hAnsi="Calibri" w:eastAsia="Calibri"/>
                <w:b/>
                <w:color w:val="FFFFFF"/>
                <w:sz w:val="17"/>
              </w:rPr>
              <w:t>d de Cohen</w:t>
            </w:r>
          </w:p>
        </w:tc>
        <w:tc>
          <w:tcPr>
            <w:tcW w:type="dxa" w:w="907"/>
            <w:shd w:val="clear" w:color="auto" w:fill="1B2A49"/>
            <w:tcMar>
              <w:top w:w="70" w:type="dxa"/>
              <w:left w:w="90" w:type="dxa"/>
              <w:bottom w:w="70" w:type="dxa"/>
              <w:right w:w="90" w:type="dxa"/>
            </w:tcMar>
          </w:tcPr>
          <w:p>
            <w:pPr>
              <w:spacing w:after="0"/>
            </w:pPr>
            <w:r>
              <w:rPr>
                <w:rFonts w:ascii="Calibri" w:hAnsi="Calibri" w:eastAsia="Calibri"/>
                <w:b/>
                <w:color w:val="FFFFFF"/>
                <w:sz w:val="17"/>
              </w:rPr>
              <w:t>p (Welch)</w:t>
            </w:r>
          </w:p>
        </w:tc>
        <w:tc>
          <w:tcPr>
            <w:tcW w:type="dxa" w:w="964"/>
            <w:shd w:val="clear" w:color="auto" w:fill="1B2A49"/>
            <w:tcMar>
              <w:top w:w="70" w:type="dxa"/>
              <w:left w:w="90" w:type="dxa"/>
              <w:bottom w:w="70" w:type="dxa"/>
              <w:right w:w="90" w:type="dxa"/>
            </w:tcMar>
          </w:tcPr>
          <w:p>
            <w:pPr>
              <w:spacing w:after="0"/>
            </w:pPr>
            <w:r>
              <w:rPr>
                <w:rFonts w:ascii="Calibri" w:hAnsi="Calibri" w:eastAsia="Calibri"/>
                <w:b/>
                <w:color w:val="FFFFFF"/>
                <w:sz w:val="17"/>
              </w:rPr>
              <w:t>p ajustado</w:t>
            </w:r>
          </w:p>
        </w:tc>
      </w:tr>
      <w:tr>
        <w:trPr>
          <w:cantSplit/>
        </w:trPr>
        <w:tc>
          <w:tcPr>
            <w:tcW w:type="dxa" w:w="2608"/>
            <w:tcMar>
              <w:top w:w="60" w:type="dxa"/>
              <w:left w:w="90" w:type="dxa"/>
              <w:bottom w:w="60" w:type="dxa"/>
              <w:right w:w="90" w:type="dxa"/>
            </w:tcMar>
            <w:vAlign w:val="center"/>
          </w:tcPr>
          <w:p>
            <w:pPr>
              <w:spacing w:after="0"/>
            </w:pPr>
            <w:r>
              <w:rPr>
                <w:rFonts w:ascii="Calibri" w:hAnsi="Calibri" w:eastAsia="Calibri"/>
                <w:sz w:val="17"/>
              </w:rPr>
              <w:t>Comunicación (P04, P11)</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3,83</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3,72</w:t>
            </w:r>
          </w:p>
        </w:tc>
        <w:tc>
          <w:tcPr>
            <w:tcW w:type="dxa" w:w="964"/>
            <w:tcMar>
              <w:top w:w="60" w:type="dxa"/>
              <w:left w:w="90" w:type="dxa"/>
              <w:bottom w:w="60" w:type="dxa"/>
              <w:right w:w="90" w:type="dxa"/>
            </w:tcMar>
            <w:vAlign w:val="center"/>
          </w:tcPr>
          <w:p>
            <w:pPr>
              <w:spacing w:after="0"/>
              <w:jc w:val="center"/>
            </w:pPr>
            <w:r>
              <w:rPr>
                <w:rFonts w:ascii="Calibri" w:hAnsi="Calibri" w:eastAsia="Calibri"/>
                <w:sz w:val="17"/>
              </w:rPr>
              <w:t>+0,10</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2,8 %</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0,13</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0,40</w:t>
            </w:r>
          </w:p>
        </w:tc>
        <w:tc>
          <w:tcPr>
            <w:tcW w:type="dxa" w:w="964"/>
            <w:tcMar>
              <w:top w:w="60" w:type="dxa"/>
              <w:left w:w="90" w:type="dxa"/>
              <w:bottom w:w="60" w:type="dxa"/>
              <w:right w:w="90" w:type="dxa"/>
            </w:tcMar>
            <w:vAlign w:val="center"/>
          </w:tcPr>
          <w:p>
            <w:pPr>
              <w:spacing w:after="0"/>
              <w:jc w:val="center"/>
            </w:pPr>
            <w:r>
              <w:rPr>
                <w:rFonts w:ascii="Calibri" w:hAnsi="Calibri" w:eastAsia="Calibri"/>
                <w:sz w:val="17"/>
              </w:rPr>
              <w:t>1,00</w:t>
            </w:r>
          </w:p>
        </w:tc>
      </w:tr>
      <w:tr>
        <w:trPr>
          <w:cantSplit/>
        </w:trPr>
        <w:tc>
          <w:tcPr>
            <w:tcW w:type="dxa" w:w="2608"/>
            <w:tcMar>
              <w:top w:w="60" w:type="dxa"/>
              <w:left w:w="90" w:type="dxa"/>
              <w:bottom w:w="60" w:type="dxa"/>
              <w:right w:w="90" w:type="dxa"/>
            </w:tcMar>
            <w:vAlign w:val="center"/>
            <w:shd w:val="clear" w:color="auto" w:fill="F7F9FC"/>
          </w:tcPr>
          <w:p>
            <w:pPr>
              <w:spacing w:after="0"/>
            </w:pPr>
            <w:r>
              <w:rPr>
                <w:rFonts w:ascii="Calibri" w:hAnsi="Calibri" w:eastAsia="Calibri"/>
                <w:sz w:val="17"/>
              </w:rPr>
              <w:t>Trabajo en equipo (P07)</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4,14</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4,15</w:t>
            </w:r>
          </w:p>
        </w:tc>
        <w:tc>
          <w:tcPr>
            <w:tcW w:type="dxa" w:w="96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-0,01</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-0,2 %</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-0,01</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0,95</w:t>
            </w:r>
          </w:p>
        </w:tc>
        <w:tc>
          <w:tcPr>
            <w:tcW w:type="dxa" w:w="96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1,00</w:t>
            </w:r>
          </w:p>
        </w:tc>
      </w:tr>
      <w:tr>
        <w:trPr>
          <w:cantSplit/>
        </w:trPr>
        <w:tc>
          <w:tcPr>
            <w:tcW w:type="dxa" w:w="2608"/>
            <w:tcMar>
              <w:top w:w="60" w:type="dxa"/>
              <w:left w:w="90" w:type="dxa"/>
              <w:bottom w:w="60" w:type="dxa"/>
              <w:right w:w="90" w:type="dxa"/>
            </w:tcMar>
            <w:vAlign w:val="center"/>
          </w:tcPr>
          <w:p>
            <w:pPr>
              <w:spacing w:after="0"/>
            </w:pPr>
            <w:r>
              <w:rPr>
                <w:rFonts w:ascii="Calibri" w:hAnsi="Calibri" w:eastAsia="Calibri"/>
                <w:sz w:val="17"/>
              </w:rPr>
              <w:t>Autonomía (P03, P08)</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4,21</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3,99</w:t>
            </w:r>
          </w:p>
        </w:tc>
        <w:tc>
          <w:tcPr>
            <w:tcW w:type="dxa" w:w="964"/>
            <w:tcMar>
              <w:top w:w="60" w:type="dxa"/>
              <w:left w:w="90" w:type="dxa"/>
              <w:bottom w:w="60" w:type="dxa"/>
              <w:right w:w="90" w:type="dxa"/>
            </w:tcMar>
            <w:vAlign w:val="center"/>
          </w:tcPr>
          <w:p>
            <w:pPr>
              <w:spacing w:after="0"/>
              <w:jc w:val="center"/>
            </w:pPr>
            <w:r>
              <w:rPr>
                <w:rFonts w:ascii="Calibri" w:hAnsi="Calibri" w:eastAsia="Calibri"/>
                <w:sz w:val="17"/>
              </w:rPr>
              <w:t>+0,22</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5,6 %</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0,25</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0,08</w:t>
            </w:r>
          </w:p>
        </w:tc>
        <w:tc>
          <w:tcPr>
            <w:tcW w:type="dxa" w:w="964"/>
            <w:tcMar>
              <w:top w:w="60" w:type="dxa"/>
              <w:left w:w="90" w:type="dxa"/>
              <w:bottom w:w="60" w:type="dxa"/>
              <w:right w:w="90" w:type="dxa"/>
            </w:tcMar>
            <w:vAlign w:val="center"/>
          </w:tcPr>
          <w:p>
            <w:pPr>
              <w:spacing w:after="0"/>
              <w:jc w:val="center"/>
            </w:pPr>
            <w:r>
              <w:rPr>
                <w:rFonts w:ascii="Calibri" w:hAnsi="Calibri" w:eastAsia="Calibri"/>
                <w:sz w:val="17"/>
              </w:rPr>
              <w:t>1,00</w:t>
            </w:r>
          </w:p>
        </w:tc>
      </w:tr>
      <w:tr>
        <w:trPr>
          <w:cantSplit/>
        </w:trPr>
        <w:tc>
          <w:tcPr>
            <w:tcW w:type="dxa" w:w="2608"/>
            <w:tcMar>
              <w:top w:w="60" w:type="dxa"/>
              <w:left w:w="90" w:type="dxa"/>
              <w:bottom w:w="60" w:type="dxa"/>
              <w:right w:w="90" w:type="dxa"/>
            </w:tcMar>
            <w:vAlign w:val="center"/>
            <w:shd w:val="clear" w:color="auto" w:fill="F7F9FC"/>
          </w:tcPr>
          <w:p>
            <w:pPr>
              <w:spacing w:after="0"/>
            </w:pPr>
            <w:r>
              <w:rPr>
                <w:rFonts w:ascii="Calibri" w:hAnsi="Calibri" w:eastAsia="Calibri"/>
                <w:sz w:val="17"/>
              </w:rPr>
              <w:t>Resiliencia (P13)</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3,99</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3,95</w:t>
            </w:r>
          </w:p>
        </w:tc>
        <w:tc>
          <w:tcPr>
            <w:tcW w:type="dxa" w:w="96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+0,03</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0,8 %</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0,04</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0,81</w:t>
            </w:r>
          </w:p>
        </w:tc>
        <w:tc>
          <w:tcPr>
            <w:tcW w:type="dxa" w:w="96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1,00</w:t>
            </w:r>
          </w:p>
        </w:tc>
      </w:tr>
      <w:tr>
        <w:trPr>
          <w:cantSplit/>
        </w:trPr>
        <w:tc>
          <w:tcPr>
            <w:tcW w:type="dxa" w:w="2608"/>
            <w:tcMar>
              <w:top w:w="60" w:type="dxa"/>
              <w:left w:w="90" w:type="dxa"/>
              <w:bottom w:w="60" w:type="dxa"/>
              <w:right w:w="90" w:type="dxa"/>
            </w:tcMar>
            <w:vAlign w:val="center"/>
          </w:tcPr>
          <w:p>
            <w:pPr>
              <w:spacing w:after="0"/>
            </w:pPr>
            <w:r>
              <w:rPr>
                <w:rFonts w:ascii="Calibri" w:hAnsi="Calibri" w:eastAsia="Calibri"/>
                <w:sz w:val="17"/>
              </w:rPr>
              <w:t>Ética (P14)</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4,15</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3,96</w:t>
            </w:r>
          </w:p>
        </w:tc>
        <w:tc>
          <w:tcPr>
            <w:tcW w:type="dxa" w:w="964"/>
            <w:tcMar>
              <w:top w:w="60" w:type="dxa"/>
              <w:left w:w="90" w:type="dxa"/>
              <w:bottom w:w="60" w:type="dxa"/>
              <w:right w:w="90" w:type="dxa"/>
            </w:tcMar>
            <w:vAlign w:val="center"/>
          </w:tcPr>
          <w:p>
            <w:pPr>
              <w:spacing w:after="0"/>
              <w:jc w:val="center"/>
            </w:pPr>
            <w:r>
              <w:rPr>
                <w:rFonts w:ascii="Calibri" w:hAnsi="Calibri" w:eastAsia="Calibri"/>
                <w:sz w:val="17"/>
              </w:rPr>
              <w:t>+0,19</w:t>
            </w:r>
          </w:p>
        </w:tc>
        <w:tc>
          <w:tcPr>
            <w:tcW w:type="dxa" w:w="1020"/>
            <w:tcMar>
              <w:top w:w="60" w:type="dxa"/>
              <w:left w:w="90" w:type="dxa"/>
              <w:bottom w:w="60" w:type="dxa"/>
              <w:right w:w="90" w:type="dxa"/>
            </w:tcMar>
            <w:vAlign w:val="center"/>
          </w:tcPr>
          <w:p>
            <w:pPr>
              <w:spacing w:after="0"/>
              <w:jc w:val="center"/>
            </w:pPr>
            <w:r>
              <w:rPr>
                <w:rFonts w:ascii="Calibri" w:hAnsi="Calibri" w:eastAsia="Calibri"/>
                <w:sz w:val="17"/>
              </w:rPr>
              <w:t>4,9 %</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0,24</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0,11</w:t>
            </w:r>
          </w:p>
        </w:tc>
        <w:tc>
          <w:tcPr>
            <w:tcW w:type="dxa" w:w="964"/>
            <w:tcMar>
              <w:top w:w="60" w:type="dxa"/>
              <w:left w:w="90" w:type="dxa"/>
              <w:bottom w:w="60" w:type="dxa"/>
              <w:right w:w="90" w:type="dxa"/>
            </w:tcMar>
            <w:vAlign w:val="center"/>
          </w:tcPr>
          <w:p>
            <w:pPr>
              <w:spacing w:after="0"/>
              <w:jc w:val="center"/>
            </w:pPr>
            <w:r>
              <w:rPr>
                <w:rFonts w:ascii="Calibri" w:hAnsi="Calibri" w:eastAsia="Calibri"/>
                <w:sz w:val="17"/>
              </w:rPr>
              <w:t>1,00</w:t>
            </w:r>
          </w:p>
        </w:tc>
      </w:tr>
      <w:tr>
        <w:trPr>
          <w:cantSplit/>
        </w:trPr>
        <w:tc>
          <w:tcPr>
            <w:tcW w:type="dxa" w:w="2608"/>
            <w:tcMar>
              <w:top w:w="60" w:type="dxa"/>
              <w:left w:w="90" w:type="dxa"/>
              <w:bottom w:w="60" w:type="dxa"/>
              <w:right w:w="90" w:type="dxa"/>
            </w:tcMar>
            <w:vAlign w:val="center"/>
            <w:shd w:val="clear" w:color="auto" w:fill="F7F9FC"/>
          </w:tcPr>
          <w:p>
            <w:pPr>
              <w:spacing w:after="0"/>
            </w:pPr>
            <w:r>
              <w:rPr>
                <w:rFonts w:ascii="Calibri" w:hAnsi="Calibri" w:eastAsia="Calibri"/>
                <w:sz w:val="17"/>
              </w:rPr>
              <w:t>Índice HB (promedio de 5)</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4,06</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3,96</w:t>
            </w:r>
          </w:p>
        </w:tc>
        <w:tc>
          <w:tcPr>
            <w:tcW w:type="dxa" w:w="96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+0,10</w:t>
            </w:r>
          </w:p>
        </w:tc>
        <w:tc>
          <w:tcPr>
            <w:tcW w:type="dxa" w:w="102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2,6 %</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0,15</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0,29</w:t>
            </w:r>
          </w:p>
        </w:tc>
        <w:tc>
          <w:tcPr>
            <w:tcW w:type="dxa" w:w="96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1,00</w:t>
            </w:r>
          </w:p>
        </w:tc>
      </w:tr>
    </w:tbl>
    <w:p>
      <w:pPr>
        <w:spacing w:after="40"/>
      </w:pPr>
    </w:p>
    <w:p>
      <w:r>
        <w:rPr>
          <w:rFonts w:ascii="Calibri" w:hAnsi="Calibri" w:eastAsia="Calibri"/>
        </w:rPr>
        <w:t xml:space="preserve">El informe proyectaba aumentos de </w:t>
      </w:r>
      <w:r>
        <w:rPr>
          <w:rFonts w:ascii="Calibri" w:hAnsi="Calibri" w:eastAsia="Calibri"/>
          <w:b/>
        </w:rPr>
        <w:t>25 % a 35 %</w:t>
      </w:r>
      <w:r>
        <w:rPr>
          <w:rFonts w:ascii="Calibri" w:hAnsi="Calibri" w:eastAsia="Calibri"/>
        </w:rPr>
        <w:t xml:space="preserve"> en autonomía y comunicación. Observamos </w:t>
      </w:r>
      <w:r>
        <w:rPr>
          <w:rFonts w:ascii="Calibri" w:hAnsi="Calibri" w:eastAsia="Calibri"/>
          <w:b/>
        </w:rPr>
        <w:t>+5,6 %</w:t>
      </w:r>
      <w:r>
        <w:rPr>
          <w:rFonts w:ascii="Calibri" w:hAnsi="Calibri" w:eastAsia="Calibri"/>
        </w:rPr>
        <w:t xml:space="preserve"> en autonomía y </w:t>
      </w:r>
      <w:r>
        <w:rPr>
          <w:rFonts w:ascii="Calibri" w:hAnsi="Calibri" w:eastAsia="Calibri"/>
          <w:b/>
        </w:rPr>
        <w:t>+2,8 %</w:t>
      </w:r>
      <w:r>
        <w:rPr>
          <w:rFonts w:ascii="Calibri" w:hAnsi="Calibri" w:eastAsia="Calibri"/>
        </w:rPr>
        <w:t xml:space="preserve"> en comunicación. Ninguna diferencia es estadísticamente clara; la más grande (autonomía, +0,22) es compatible con un efecto real pequeño. En trabajo en equipo y resiliencia, las diferencias son prácticamente nulas (-0,01 y +0,03): </w:t>
      </w:r>
      <w:r>
        <w:rPr>
          <w:rFonts w:ascii="Calibri" w:hAnsi="Calibri" w:eastAsia="Calibri"/>
          <w:b/>
        </w:rPr>
        <w:t>el «amortiguador» no aparece donde se esperaba con más fuerza.</w:t>
      </w:r>
    </w:p>
    <w:p>
      <w:pPr>
        <w:pStyle w:val="Heading3"/>
      </w:pPr>
      <w:r>
        <w:t>Semáforo oficial: ¿hay menos estudiantes en rojo con práctica previa?</w:t>
      </w:r>
    </w:p>
    <w:p>
      <w:pPr>
        <w:keepNext/>
        <w:spacing w:after="40"/>
        <w:jc w:val="center"/>
      </w:pPr>
      <w:r>
        <w:drawing>
          <wp:inline xmlns:a="http://schemas.openxmlformats.org/drawingml/2006/main" xmlns:pic="http://schemas.openxmlformats.org/drawingml/2006/picture">
            <wp:extent cx="5832000" cy="2774447"/>
            <wp:docPr id="5" name="Picture 5"/>
            <wp:cNvGraphicFramePr>
              <a:graphicFrameLocks noChangeAspect="1"/>
            </wp:cNvGraphicFramePr>
            <a:graphic>
              <a:graphicData uri="http://schemas.openxmlformats.org/drawingml/2006/picture">
                <pic:pic>
                  <pic:nvPicPr>
                    <pic:cNvPr id="0" name="g22_semaforo_oficial.png"/>
                    <pic:cNvPicPr/>
                  </pic:nvPicPr>
                  <pic:blipFill>
                    <a:blip r:embed="rId15"/>
                    <a:stretch>
                      <a:fillRect/>
                    </a:stretch>
                  </pic:blipFill>
                  <pic:spPr>
                    <a:xfrm>
                      <a:off x="0" y="0"/>
                      <a:ext cx="5832000" cy="2774447"/>
                    </a:xfrm>
                    <a:prstGeom prst="rect"/>
                  </pic:spPr>
                </pic:pic>
              </a:graphicData>
            </a:graphic>
          </wp:inline>
        </w:drawing>
      </w:r>
    </w:p>
    <w:p>
      <w:pPr>
        <w:spacing w:after="200"/>
        <w:jc w:val="center"/>
      </w:pPr>
      <w:r>
        <w:rPr>
          <w:rFonts w:ascii="Calibri" w:hAnsi="Calibri" w:eastAsia="Calibri"/>
          <w:i/>
          <w:color w:val="8892A6"/>
          <w:sz w:val="17"/>
        </w:rPr>
        <w:t>Figura 4. Semáforo oficial por estudiante, con y sin práctica previa.</w:t>
      </w:r>
    </w:p>
    <w:p>
      <w:r>
        <w:rPr>
          <w:rFonts w:ascii="Calibri" w:hAnsi="Calibri" w:eastAsia="Calibri"/>
        </w:rPr>
        <w:t xml:space="preserve">Con práctica previa, </w:t>
      </w:r>
      <w:r>
        <w:rPr>
          <w:rFonts w:ascii="Calibri" w:hAnsi="Calibri" w:eastAsia="Calibri"/>
          <w:b/>
        </w:rPr>
        <w:t>14 %</w:t>
      </w:r>
      <w:r>
        <w:rPr>
          <w:rFonts w:ascii="Calibri" w:hAnsi="Calibri" w:eastAsia="Calibri"/>
        </w:rPr>
        <w:t xml:space="preserve"> está en rojo (menos de 3,50) frente a </w:t>
      </w:r>
      <w:r>
        <w:rPr>
          <w:rFonts w:ascii="Calibri" w:hAnsi="Calibri" w:eastAsia="Calibri"/>
          <w:b/>
        </w:rPr>
        <w:t>25 %</w:t>
      </w:r>
      <w:r>
        <w:rPr>
          <w:rFonts w:ascii="Calibri" w:hAnsi="Calibri" w:eastAsia="Calibri"/>
        </w:rPr>
        <w:t xml:space="preserve"> sin práctica; y 40 % está en verde frente a 27 %. El sentido es el esperado, pero no alcanza significación (rojos: p = 0,09; verdes: p = 0,07). Un dato importante para decidir: de los </w:t>
      </w:r>
      <w:r>
        <w:rPr>
          <w:rFonts w:ascii="Calibri" w:hAnsi="Calibri" w:eastAsia="Calibri"/>
          <w:b/>
        </w:rPr>
        <w:t>38 estudiantes en rojo</w:t>
      </w:r>
      <w:r>
        <w:rPr>
          <w:rFonts w:ascii="Calibri" w:hAnsi="Calibri" w:eastAsia="Calibri"/>
        </w:rPr>
        <w:t xml:space="preserve">, 28 no tienen práctica previa y 10 sí. </w:t>
      </w:r>
      <w:r>
        <w:rPr>
          <w:rFonts w:ascii="Calibri" w:hAnsi="Calibri" w:eastAsia="Calibri"/>
          <w:b/>
        </w:rPr>
        <w:t>Tener práctica previa no «vacuna»:</w:t>
      </w:r>
      <w:r>
        <w:rPr>
          <w:rFonts w:ascii="Calibri" w:hAnsi="Calibri" w:eastAsia="Calibri"/>
        </w:rPr>
        <w:t xml:space="preserve"> 1 de cada 7 estudiantes con práctica igual queda en rojo.</w:t>
      </w:r>
    </w:p>
    <w:p>
      <w:pPr>
        <w:pStyle w:val="Heading3"/>
      </w:pPr>
      <w:r>
        <w:t>Tipo de práctica y año de estudio</w:t>
      </w:r>
    </w:p>
    <w:p>
      <w:r>
        <w:rPr>
          <w:rFonts w:ascii="Calibri" w:hAnsi="Calibri" w:eastAsia="Calibri"/>
        </w:rPr>
        <w:t xml:space="preserve">Por tipo de práctica, la pasantía en la carrera (3,98) y la práctica EMTP (3,91) puntúan algo sobre quienes no han practicado (3,80), sin diferencias claras entre los tres grupos (Kruskal-Wallis, p = 0,29). Además, práctica previa y año de estudio están entrelazados (63 % de quienes llevan 5.º semestre o más tienen práctica; solo 33 % en 1.º–2.º). Al analizarlos </w:t>
      </w:r>
      <w:r>
        <w:rPr>
          <w:rFonts w:ascii="Calibri" w:hAnsi="Calibri" w:eastAsia="Calibri"/>
          <w:b/>
        </w:rPr>
        <w:t>a la vez</w:t>
      </w:r>
      <w:r>
        <w:rPr>
          <w:rFonts w:ascii="Calibri" w:hAnsi="Calibri" w:eastAsia="Calibri"/>
        </w:rPr>
        <w:t>, la práctica previa suma +0,16 puntos (intervalo -0,04 a 0,35; p = 0,12) y el año de estudio +0,04 por tramo (p = 0,50); juntos explican apenas el 1,8 % de las diferencias entre estudiantes. Dentro del primer año, donde ambos no se mezclan, la diferencia cae a +0,07.</w:t>
      </w:r>
    </w:p>
    <w:p>
      <w:pPr>
        <w:pStyle w:val="Heading3"/>
      </w:pPr>
      <w:r>
        <w:t>Interpretación práctica de H1</w:t>
      </w:r>
    </w:p>
    <w:p>
      <w:pPr>
        <w:pStyle w:val="ListBullet"/>
        <w:spacing w:after="60"/>
      </w:pPr>
      <w:r>
        <w:rPr>
          <w:rFonts w:ascii="Calibri" w:hAnsi="Calibri" w:eastAsia="Calibri"/>
          <w:b/>
        </w:rPr>
        <w:t>[HECHO] La práctica previa se asocia con puntajes algo más altos</w:t>
      </w:r>
      <w:r>
        <w:rPr>
          <w:rFonts w:ascii="Calibri" w:hAnsi="Calibri" w:eastAsia="Calibri"/>
        </w:rPr>
        <w:t xml:space="preserve"> en cuatro de cinco dimensiones; el efecto es pequeño (d ≈ 0,2–0,3) y no es estadísticamente concluyente con esta muestra (que solo detecta diferencias de 0,28 o más).</w:t>
      </w:r>
    </w:p>
    <w:p>
      <w:pPr>
        <w:pStyle w:val="ListBullet"/>
        <w:spacing w:after="60"/>
      </w:pPr>
      <w:r>
        <w:rPr>
          <w:rFonts w:ascii="Calibri" w:hAnsi="Calibri" w:eastAsia="Calibri"/>
          <w:b/>
        </w:rPr>
        <w:t>[HECHO] El Escenario 2 no se cumple en su rasgo central:</w:t>
      </w:r>
      <w:r>
        <w:rPr>
          <w:rFonts w:ascii="Calibri" w:hAnsi="Calibri" w:eastAsia="Calibri"/>
        </w:rPr>
        <w:t xml:space="preserve"> no hay una brecha de 0,8–1,2 puntos. La cohorte es «mixta» por su nivel (3,87), pero </w:t>
      </w:r>
      <w:r>
        <w:rPr>
          <w:rFonts w:ascii="Calibri" w:hAnsi="Calibri" w:eastAsia="Calibri"/>
          <w:b/>
        </w:rPr>
        <w:t>no polarizada por experiencia previa</w:t>
      </w:r>
      <w:r>
        <w:rPr>
          <w:rFonts w:ascii="Calibri" w:hAnsi="Calibri" w:eastAsia="Calibri"/>
        </w:rPr>
        <w:t>.</w:t>
      </w:r>
    </w:p>
    <w:p>
      <w:pPr>
        <w:pStyle w:val="ListBullet"/>
        <w:spacing w:after="60"/>
      </w:pPr>
      <w:r>
        <w:rPr>
          <w:rFonts w:ascii="Calibri" w:hAnsi="Calibri" w:eastAsia="Calibri"/>
          <w:b/>
        </w:rPr>
        <w:t>[INTERPRETACIÓN] Por qué la brecha puede ser menor a la proyectada:</w:t>
      </w:r>
      <w:r>
        <w:rPr>
          <w:rFonts w:ascii="Calibri" w:hAnsi="Calibri" w:eastAsia="Calibri"/>
        </w:rPr>
        <w:t xml:space="preserve"> (a) las cifras del informe (4,3 vs. 3,3) eran proyecciones ilustrativas, no estimaciones empíricas; (b) las prácticas previas son muy distintas entre sí (EMTP, pasantías, otra carrera) y pueden ser de hace años; (c) con autopercepciones tiende a haber «techo»: casi todos se evalúan bien; (d) quienes no tienen práctica quizá se evalúan con optimismo por no conocer aún las exigencias; (e) la encuesta no mide A03 ni A04, que son el corazón del mecanismo propuesto.</w:t>
      </w:r>
    </w:p>
    <w:p>
      <w:pPr>
        <w:pStyle w:val="ListBullet"/>
        <w:spacing w:after="60"/>
      </w:pPr>
      <w:r>
        <w:rPr>
          <w:rFonts w:ascii="Calibri" w:hAnsi="Calibri" w:eastAsia="Calibri"/>
          <w:b/>
        </w:rPr>
        <w:t>[BRECHA] Brecha:</w:t>
      </w:r>
      <w:r>
        <w:rPr>
          <w:rFonts w:ascii="Calibri" w:hAnsi="Calibri" w:eastAsia="Calibri"/>
        </w:rPr>
        <w:t xml:space="preserve"> falta medir el desempeño observado en el centro de práctica (evaluación de jefaturas) para saber si la práctica previa se traduce en mejor desempeño real y no solo en mejor autopercepción.</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F2A900"/>
            <w:tcMar>
              <w:top w:w="0" w:type="dxa"/>
              <w:left w:w="0" w:type="dxa"/>
              <w:bottom w:w="0" w:type="dxa"/>
              <w:right w:w="0" w:type="dxa"/>
            </w:tcMar>
          </w:tcPr>
          <w:p/>
        </w:tc>
        <w:tc>
          <w:tcPr>
            <w:tcW w:type="dxa" w:w="9213"/>
            <w:shd w:val="clear" w:color="auto" w:fill="FFF7E0"/>
            <w:tcMar>
              <w:top w:w="120" w:type="dxa"/>
              <w:left w:w="200" w:type="dxa"/>
              <w:bottom w:w="120" w:type="dxa"/>
              <w:right w:w="160" w:type="dxa"/>
            </w:tcMar>
          </w:tcPr>
          <w:p>
            <w:pPr>
              <w:spacing w:after="40"/>
            </w:pPr>
            <w:r>
              <w:rPr>
                <w:rFonts w:ascii="Calibri" w:hAnsi="Calibri" w:eastAsia="Calibri"/>
                <w:b/>
                <w:color w:val="F2A900"/>
                <w:sz w:val="21"/>
              </w:rPr>
              <w:t>Veredicto H1</w:t>
            </w:r>
          </w:p>
          <w:p>
            <w:pPr>
              <w:spacing w:after="40"/>
            </w:pPr>
            <w:r>
              <w:rPr>
                <w:rFonts w:ascii="Calibri" w:hAnsi="Calibri" w:eastAsia="Calibri"/>
                <w:sz w:val="20"/>
              </w:rPr>
              <w:t xml:space="preserve">PARCIALMENTE RESPALDADA. Dirección coherente con la hipótesis; magnitud muy inferior a la proyectada y no concluyente estadísticamente. La evidencia </w:t>
            </w:r>
            <w:r>
              <w:rPr>
                <w:rFonts w:ascii="Calibri" w:hAnsi="Calibri" w:eastAsia="Calibri"/>
                <w:b/>
                <w:sz w:val="20"/>
              </w:rPr>
              <w:t>no justifica</w:t>
            </w:r>
            <w:r>
              <w:rPr>
                <w:rFonts w:ascii="Calibri" w:hAnsi="Calibri" w:eastAsia="Calibri"/>
                <w:sz w:val="20"/>
              </w:rPr>
              <w:t xml:space="preserve"> una política que segregue por tener o no práctica previa; sí justifica atender al grupo en semáforo rojo, con y sin práctica previa.</w:t>
            </w:r>
          </w:p>
        </w:tc>
      </w:tr>
    </w:tbl>
    <w:p>
      <w:pPr>
        <w:spacing w:after="40"/>
      </w:pPr>
    </w:p>
    <w:p>
      <w:pPr>
        <w:pStyle w:val="Heading2"/>
      </w:pPr>
      <w:r>
        <w:t>4.2 H2: a más semestres, mayor percepción de preparación</w:t>
      </w:r>
    </w:p>
    <w:p>
      <w:pPr>
        <w:keepNext/>
        <w:spacing w:after="40"/>
        <w:jc w:val="center"/>
      </w:pPr>
      <w:r>
        <w:drawing>
          <wp:inline xmlns:a="http://schemas.openxmlformats.org/drawingml/2006/main" xmlns:pic="http://schemas.openxmlformats.org/drawingml/2006/picture">
            <wp:extent cx="5832000" cy="2551686"/>
            <wp:docPr id="6" name="Picture 6"/>
            <wp:cNvGraphicFramePr>
              <a:graphicFrameLocks noChangeAspect="1"/>
            </wp:cNvGraphicFramePr>
            <a:graphic>
              <a:graphicData uri="http://schemas.openxmlformats.org/drawingml/2006/picture">
                <pic:pic>
                  <pic:nvPicPr>
                    <pic:cNvPr id="0" name="g07_anio.png"/>
                    <pic:cNvPicPr/>
                  </pic:nvPicPr>
                  <pic:blipFill>
                    <a:blip r:embed="rId16"/>
                    <a:stretch>
                      <a:fillRect/>
                    </a:stretch>
                  </pic:blipFill>
                  <pic:spPr>
                    <a:xfrm>
                      <a:off x="0" y="0"/>
                      <a:ext cx="5832000" cy="2551686"/>
                    </a:xfrm>
                    <a:prstGeom prst="rect"/>
                  </pic:spPr>
                </pic:pic>
              </a:graphicData>
            </a:graphic>
          </wp:inline>
        </w:drawing>
      </w:r>
    </w:p>
    <w:p>
      <w:pPr>
        <w:spacing w:after="200"/>
        <w:jc w:val="center"/>
      </w:pPr>
      <w:r>
        <w:rPr>
          <w:rFonts w:ascii="Calibri" w:hAnsi="Calibri" w:eastAsia="Calibri"/>
          <w:i/>
          <w:color w:val="8892A6"/>
          <w:sz w:val="17"/>
        </w:rPr>
        <w:t>Figura 5. Dimensiones según año de estudio.</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2721"/>
        <w:gridCol w:w="1134"/>
        <w:gridCol w:w="1134"/>
        <w:gridCol w:w="1134"/>
        <w:gridCol w:w="1134"/>
        <w:gridCol w:w="1077"/>
        <w:gridCol w:w="1077"/>
      </w:tblGrid>
      <w:tr>
        <w:trPr>
          <w:tblHeader w:val="true"/>
        </w:trPr>
        <w:tc>
          <w:tcPr>
            <w:tcW w:type="dxa" w:w="2721"/>
            <w:shd w:val="clear" w:color="auto" w:fill="1B2A49"/>
            <w:tcMar>
              <w:top w:w="70" w:type="dxa"/>
              <w:left w:w="90" w:type="dxa"/>
              <w:bottom w:w="70" w:type="dxa"/>
              <w:right w:w="90" w:type="dxa"/>
            </w:tcMar>
          </w:tcPr>
          <w:p>
            <w:pPr>
              <w:spacing w:after="0"/>
            </w:pPr>
            <w:r>
              <w:rPr>
                <w:rFonts w:ascii="Calibri" w:hAnsi="Calibri" w:eastAsia="Calibri"/>
                <w:b/>
                <w:color w:val="FFFFFF"/>
                <w:sz w:val="17"/>
              </w:rPr>
              <w:t>Dimensión</w:t>
            </w:r>
          </w:p>
        </w:tc>
        <w:tc>
          <w:tcPr>
            <w:tcW w:type="dxa" w:w="1134"/>
            <w:shd w:val="clear" w:color="auto" w:fill="1B2A49"/>
            <w:tcMar>
              <w:top w:w="70" w:type="dxa"/>
              <w:left w:w="90" w:type="dxa"/>
              <w:bottom w:w="70" w:type="dxa"/>
              <w:right w:w="90" w:type="dxa"/>
            </w:tcMar>
          </w:tcPr>
          <w:p>
            <w:pPr>
              <w:spacing w:after="0"/>
            </w:pPr>
            <w:r>
              <w:rPr>
                <w:rFonts w:ascii="Calibri" w:hAnsi="Calibri" w:eastAsia="Calibri"/>
                <w:b/>
                <w:color w:val="FFFFFF"/>
                <w:sz w:val="17"/>
              </w:rPr>
              <w:t>1.º–2.º sem.</w:t>
              <w:br/>
              <w:t>(n=90)</w:t>
            </w:r>
          </w:p>
        </w:tc>
        <w:tc>
          <w:tcPr>
            <w:tcW w:type="dxa" w:w="1134"/>
            <w:shd w:val="clear" w:color="auto" w:fill="1B2A49"/>
            <w:tcMar>
              <w:top w:w="70" w:type="dxa"/>
              <w:left w:w="90" w:type="dxa"/>
              <w:bottom w:w="70" w:type="dxa"/>
              <w:right w:w="90" w:type="dxa"/>
            </w:tcMar>
          </w:tcPr>
          <w:p>
            <w:pPr>
              <w:spacing w:after="0"/>
            </w:pPr>
            <w:r>
              <w:rPr>
                <w:rFonts w:ascii="Calibri" w:hAnsi="Calibri" w:eastAsia="Calibri"/>
                <w:b/>
                <w:color w:val="FFFFFF"/>
                <w:sz w:val="17"/>
              </w:rPr>
              <w:t>3.º–4.º sem.</w:t>
              <w:br/>
              <w:t>(n=43)</w:t>
            </w:r>
          </w:p>
        </w:tc>
        <w:tc>
          <w:tcPr>
            <w:tcW w:type="dxa" w:w="1134"/>
            <w:shd w:val="clear" w:color="auto" w:fill="1B2A49"/>
            <w:tcMar>
              <w:top w:w="70" w:type="dxa"/>
              <w:left w:w="90" w:type="dxa"/>
              <w:bottom w:w="70" w:type="dxa"/>
              <w:right w:w="90" w:type="dxa"/>
            </w:tcMar>
          </w:tcPr>
          <w:p>
            <w:pPr>
              <w:spacing w:after="0"/>
            </w:pPr>
            <w:r>
              <w:rPr>
                <w:rFonts w:ascii="Calibri" w:hAnsi="Calibri" w:eastAsia="Calibri"/>
                <w:b/>
                <w:color w:val="FFFFFF"/>
                <w:sz w:val="17"/>
              </w:rPr>
              <w:t>5.º o más</w:t>
              <w:br/>
              <w:t>(n=51)</w:t>
            </w:r>
          </w:p>
        </w:tc>
        <w:tc>
          <w:tcPr>
            <w:tcW w:type="dxa" w:w="1134"/>
            <w:shd w:val="clear" w:color="auto" w:fill="1B2A49"/>
            <w:tcMar>
              <w:top w:w="70" w:type="dxa"/>
              <w:left w:w="90" w:type="dxa"/>
              <w:bottom w:w="70" w:type="dxa"/>
              <w:right w:w="90" w:type="dxa"/>
            </w:tcMar>
          </w:tcPr>
          <w:p>
            <w:pPr>
              <w:spacing w:after="0"/>
            </w:pPr>
            <w:r>
              <w:rPr>
                <w:rFonts w:ascii="Calibri" w:hAnsi="Calibri" w:eastAsia="Calibri"/>
                <w:b/>
                <w:color w:val="FFFFFF"/>
                <w:sz w:val="17"/>
              </w:rPr>
              <w:t>p (Kruskal)</w:t>
            </w:r>
          </w:p>
        </w:tc>
        <w:tc>
          <w:tcPr>
            <w:tcW w:type="dxa" w:w="1077"/>
            <w:shd w:val="clear" w:color="auto" w:fill="1B2A49"/>
            <w:tcMar>
              <w:top w:w="70" w:type="dxa"/>
              <w:left w:w="90" w:type="dxa"/>
              <w:bottom w:w="70" w:type="dxa"/>
              <w:right w:w="90" w:type="dxa"/>
            </w:tcMar>
          </w:tcPr>
          <w:p>
            <w:pPr>
              <w:spacing w:after="0"/>
            </w:pPr>
            <w:r>
              <w:rPr>
                <w:rFonts w:ascii="Calibri" w:hAnsi="Calibri" w:eastAsia="Calibri"/>
                <w:b/>
                <w:color w:val="FFFFFF"/>
                <w:sz w:val="17"/>
              </w:rPr>
              <w:t>p ajustado</w:t>
            </w:r>
          </w:p>
        </w:tc>
        <w:tc>
          <w:tcPr>
            <w:tcW w:type="dxa" w:w="1077"/>
            <w:shd w:val="clear" w:color="auto" w:fill="1B2A49"/>
            <w:tcMar>
              <w:top w:w="70" w:type="dxa"/>
              <w:left w:w="90" w:type="dxa"/>
              <w:bottom w:w="70" w:type="dxa"/>
              <w:right w:w="90" w:type="dxa"/>
            </w:tcMar>
          </w:tcPr>
          <w:p>
            <w:pPr>
              <w:spacing w:after="0"/>
            </w:pPr>
            <w:r>
              <w:rPr>
                <w:rFonts w:ascii="Calibri" w:hAnsi="Calibri" w:eastAsia="Calibri"/>
                <w:b/>
                <w:color w:val="FFFFFF"/>
                <w:sz w:val="17"/>
              </w:rPr>
              <w:t>rho</w:t>
            </w:r>
          </w:p>
        </w:tc>
      </w:tr>
      <w:tr>
        <w:trPr>
          <w:cantSplit/>
        </w:trPr>
        <w:tc>
          <w:tcPr>
            <w:tcW w:type="dxa" w:w="2721"/>
            <w:tcMar>
              <w:top w:w="60" w:type="dxa"/>
              <w:left w:w="90" w:type="dxa"/>
              <w:bottom w:w="60" w:type="dxa"/>
              <w:right w:w="90" w:type="dxa"/>
            </w:tcMar>
            <w:vAlign w:val="center"/>
          </w:tcPr>
          <w:p>
            <w:pPr>
              <w:spacing w:after="0"/>
            </w:pPr>
            <w:r>
              <w:rPr>
                <w:rFonts w:ascii="Calibri" w:hAnsi="Calibri" w:eastAsia="Calibri"/>
                <w:sz w:val="17"/>
              </w:rPr>
              <w:t>Global</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3,85</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3,76</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3,99</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0,116</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0,49</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0,00</w:t>
            </w:r>
          </w:p>
        </w:tc>
      </w:tr>
      <w:tr>
        <w:trPr>
          <w:cantSplit/>
        </w:trPr>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7"/>
              </w:rPr>
              <w:t>Conocer el rol profesional</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3,70</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3,70</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4,06</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0,081</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0,49</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0,13</w:t>
            </w:r>
          </w:p>
        </w:tc>
      </w:tr>
      <w:tr>
        <w:trPr>
          <w:cantSplit/>
        </w:trPr>
        <w:tc>
          <w:tcPr>
            <w:tcW w:type="dxa" w:w="2721"/>
            <w:tcMar>
              <w:top w:w="60" w:type="dxa"/>
              <w:left w:w="90" w:type="dxa"/>
              <w:bottom w:w="60" w:type="dxa"/>
              <w:right w:w="90" w:type="dxa"/>
            </w:tcMar>
            <w:vAlign w:val="center"/>
          </w:tcPr>
          <w:p>
            <w:pPr>
              <w:spacing w:after="0"/>
            </w:pPr>
            <w:r>
              <w:rPr>
                <w:rFonts w:ascii="Calibri" w:hAnsi="Calibri" w:eastAsia="Calibri"/>
                <w:sz w:val="17"/>
              </w:rPr>
              <w:t>Transferir lo aprendido</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3,95</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3,80</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3,94</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0,096</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0,49</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-0,10</w:t>
            </w:r>
          </w:p>
        </w:tc>
      </w:tr>
      <w:tr>
        <w:trPr>
          <w:cantSplit/>
        </w:trPr>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7"/>
              </w:rPr>
              <w:t>Autoeficacia laboral</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3,92</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3,75</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4,05</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0,138</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0,49</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-0,02</w:t>
            </w:r>
          </w:p>
        </w:tc>
      </w:tr>
      <w:tr>
        <w:trPr>
          <w:cantSplit/>
        </w:trPr>
        <w:tc>
          <w:tcPr>
            <w:tcW w:type="dxa" w:w="2721"/>
            <w:tcMar>
              <w:top w:w="60" w:type="dxa"/>
              <w:left w:w="90" w:type="dxa"/>
              <w:bottom w:w="60" w:type="dxa"/>
              <w:right w:w="90" w:type="dxa"/>
            </w:tcMar>
            <w:vAlign w:val="center"/>
          </w:tcPr>
          <w:p>
            <w:pPr>
              <w:spacing w:after="0"/>
            </w:pPr>
            <w:r>
              <w:rPr>
                <w:rFonts w:ascii="Calibri" w:hAnsi="Calibri" w:eastAsia="Calibri"/>
                <w:sz w:val="17"/>
              </w:rPr>
              <w:t>Redes e interés por vincularse</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3,68</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3,73</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3,77</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7"/>
              </w:rPr>
              <w:t>0,874</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0,87</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0,04</w:t>
            </w:r>
          </w:p>
        </w:tc>
      </w:tr>
      <w:tr>
        <w:trPr>
          <w:cantSplit/>
        </w:trPr>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7"/>
              </w:rPr>
              <w:t>Aprender del error y ética</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3,92</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3,91</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4,24</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0,093</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0,49</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0,12</w:t>
            </w:r>
          </w:p>
        </w:tc>
      </w:tr>
    </w:tbl>
    <w:p>
      <w:pPr>
        <w:spacing w:after="40"/>
      </w:pPr>
    </w:p>
    <w:p>
      <w:r>
        <w:rPr>
          <w:rFonts w:ascii="Calibri" w:hAnsi="Calibri" w:eastAsia="Calibri"/>
        </w:rPr>
        <w:t xml:space="preserve">Ninguna diferencia resiste la corrección (p ajustado ≥ 0,49). No hay «escalera»: el tramo 3.º–4.º semestre es el más bajo en casi todo, y el de 5.º en adelante repunta (D1: 4,06; D5: 4,24). La correlación entre año y puntaje global es prácticamente cero (rho = 0,00). Exploratoriamente, </w:t>
      </w:r>
      <w:r>
        <w:rPr>
          <w:rFonts w:ascii="Calibri" w:hAnsi="Calibri" w:eastAsia="Calibri"/>
          <w:b/>
        </w:rPr>
        <w:t>la prioridad por la ética bajo presión (P14) sube con el año</w:t>
      </w:r>
      <w:r>
        <w:rPr>
          <w:rFonts w:ascii="Calibri" w:hAnsi="Calibri" w:eastAsia="Calibri"/>
        </w:rPr>
        <w:t xml:space="preserve"> (rho = 0,19, p = 0,01 sin corregir; no resiste Holm, p ajustado = 0,16).</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E4572E"/>
            <w:tcMar>
              <w:top w:w="0" w:type="dxa"/>
              <w:left w:w="0" w:type="dxa"/>
              <w:bottom w:w="0" w:type="dxa"/>
              <w:right w:w="0" w:type="dxa"/>
            </w:tcMar>
          </w:tcPr>
          <w:p/>
        </w:tc>
        <w:tc>
          <w:tcPr>
            <w:tcW w:type="dxa" w:w="9213"/>
            <w:shd w:val="clear" w:color="auto" w:fill="FDEEE9"/>
            <w:tcMar>
              <w:top w:w="120" w:type="dxa"/>
              <w:left w:w="200" w:type="dxa"/>
              <w:bottom w:w="120" w:type="dxa"/>
              <w:right w:w="160" w:type="dxa"/>
            </w:tcMar>
          </w:tcPr>
          <w:p>
            <w:pPr>
              <w:spacing w:after="40"/>
            </w:pPr>
            <w:r>
              <w:rPr>
                <w:rFonts w:ascii="Calibri" w:hAnsi="Calibri" w:eastAsia="Calibri"/>
                <w:b/>
                <w:color w:val="E4572E"/>
                <w:sz w:val="21"/>
              </w:rPr>
              <w:t>Veredicto H2</w:t>
            </w:r>
          </w:p>
          <w:p>
            <w:pPr>
              <w:spacing w:after="40"/>
            </w:pPr>
            <w:r>
              <w:rPr>
                <w:rFonts w:ascii="Calibri" w:hAnsi="Calibri" w:eastAsia="Calibri"/>
                <w:sz w:val="20"/>
              </w:rPr>
              <w:t>NO RESPALDADA. Avanzar de semestre, por sí solo, no mejora la percepción de preparación. [INTERPRETACIÓN] Una lectura plausible es la de un «valle» a mitad de carrera: ya pasó la novedad del primer año y aún no llega el contacto con la práctica real. Es una hipótesis para una próxima medición.</w:t>
            </w:r>
          </w:p>
        </w:tc>
      </w:tr>
    </w:tbl>
    <w:p>
      <w:pPr>
        <w:spacing w:after="40"/>
      </w:pPr>
    </w:p>
    <w:p>
      <w:pPr>
        <w:pStyle w:val="Heading2"/>
      </w:pPr>
      <w:r>
        <w:t>4.3 H3: la red de contactos es el punto más débil</w:t>
      </w:r>
    </w:p>
    <w:p>
      <w:pPr>
        <w:keepNext/>
        <w:spacing w:after="40"/>
        <w:jc w:val="center"/>
      </w:pPr>
      <w:r>
        <w:drawing>
          <wp:inline xmlns:a="http://schemas.openxmlformats.org/drawingml/2006/main" xmlns:pic="http://schemas.openxmlformats.org/drawingml/2006/picture">
            <wp:extent cx="5832000" cy="3209303"/>
            <wp:docPr id="7" name="Picture 7"/>
            <wp:cNvGraphicFramePr>
              <a:graphicFrameLocks noChangeAspect="1"/>
            </wp:cNvGraphicFramePr>
            <a:graphic>
              <a:graphicData uri="http://schemas.openxmlformats.org/drawingml/2006/picture">
                <pic:pic>
                  <pic:nvPicPr>
                    <pic:cNvPr id="0" name="g12_cajas.png"/>
                    <pic:cNvPicPr/>
                  </pic:nvPicPr>
                  <pic:blipFill>
                    <a:blip r:embed="rId17"/>
                    <a:stretch>
                      <a:fillRect/>
                    </a:stretch>
                  </pic:blipFill>
                  <pic:spPr>
                    <a:xfrm>
                      <a:off x="0" y="0"/>
                      <a:ext cx="5832000" cy="3209303"/>
                    </a:xfrm>
                    <a:prstGeom prst="rect"/>
                  </pic:spPr>
                </pic:pic>
              </a:graphicData>
            </a:graphic>
          </wp:inline>
        </w:drawing>
      </w:r>
    </w:p>
    <w:p>
      <w:pPr>
        <w:spacing w:after="200"/>
        <w:jc w:val="center"/>
      </w:pPr>
      <w:r>
        <w:rPr>
          <w:rFonts w:ascii="Calibri" w:hAnsi="Calibri" w:eastAsia="Calibri"/>
          <w:i/>
          <w:color w:val="8892A6"/>
          <w:sz w:val="17"/>
        </w:rPr>
        <w:t>Figura 6. Distribución de los puntajes por dimensión: D4 se ubica más abajo.</w:t>
      </w:r>
    </w:p>
    <w:p>
      <w:r>
        <w:rPr>
          <w:rFonts w:ascii="Calibri" w:hAnsi="Calibri" w:eastAsia="Calibri"/>
        </w:rPr>
        <w:t xml:space="preserve">La prueba de Friedman confirma que las cinco dimensiones </w:t>
      </w:r>
      <w:r>
        <w:rPr>
          <w:rFonts w:ascii="Calibri" w:hAnsi="Calibri" w:eastAsia="Calibri"/>
          <w:b/>
        </w:rPr>
        <w:t>no son iguales</w:t>
      </w:r>
      <w:r>
        <w:rPr>
          <w:rFonts w:ascii="Calibri" w:hAnsi="Calibri" w:eastAsia="Calibri"/>
        </w:rPr>
        <w:t xml:space="preserve"> (chi² = 40,3, p &lt; 0,001; n = 180). Al comparar D4 con cada una de las otras: queda </w:t>
      </w:r>
      <w:r>
        <w:rPr>
          <w:rFonts w:ascii="Calibri" w:hAnsi="Calibri" w:eastAsia="Calibri"/>
          <w:b/>
        </w:rPr>
        <w:t>0,20 puntos bajo D2</w:t>
      </w:r>
      <w:r>
        <w:rPr>
          <w:rFonts w:ascii="Calibri" w:hAnsi="Calibri" w:eastAsia="Calibri"/>
        </w:rPr>
        <w:t xml:space="preserve">, </w:t>
      </w:r>
      <w:r>
        <w:rPr>
          <w:rFonts w:ascii="Calibri" w:hAnsi="Calibri" w:eastAsia="Calibri"/>
          <w:b/>
        </w:rPr>
        <w:t>0,21 bajo D3</w:t>
      </w:r>
      <w:r>
        <w:rPr>
          <w:rFonts w:ascii="Calibri" w:hAnsi="Calibri" w:eastAsia="Calibri"/>
        </w:rPr>
        <w:t xml:space="preserve"> y </w:t>
      </w:r>
      <w:r>
        <w:rPr>
          <w:rFonts w:ascii="Calibri" w:hAnsi="Calibri" w:eastAsia="Calibri"/>
          <w:b/>
        </w:rPr>
        <w:t>0,29 bajo D5</w:t>
      </w:r>
      <w:r>
        <w:rPr>
          <w:rFonts w:ascii="Calibri" w:hAnsi="Calibri" w:eastAsia="Calibri"/>
        </w:rPr>
        <w:t xml:space="preserve"> (todas con p ajustado &lt; 0,001), y 0,09 bajo D1 (diferencia no concluyente, p ajustado = 0,054). El efecto global de la dimensión es pequeño (W de Kendall = 0,056) porque D4 también contiene el interés en proyectos (P15), que es alto y «sube» su promedio.</w:t>
      </w:r>
    </w:p>
    <w:p>
      <w:r>
        <w:rPr>
          <w:rFonts w:ascii="Calibri" w:hAnsi="Calibri" w:eastAsia="Calibri"/>
        </w:rPr>
        <w:t xml:space="preserve">El hallazgo se vuelve contundente cuando se mira la </w:t>
      </w:r>
      <w:r>
        <w:rPr>
          <w:rFonts w:ascii="Calibri" w:hAnsi="Calibri" w:eastAsia="Calibri"/>
          <w:b/>
        </w:rPr>
        <w:t>afirmación P12</w:t>
      </w:r>
      <w:r>
        <w:rPr>
          <w:rFonts w:ascii="Calibri" w:hAnsi="Calibri" w:eastAsia="Calibri"/>
        </w:rPr>
        <w:t xml:space="preserve"> (tener una red de contactos): promedio </w:t>
      </w:r>
      <w:r>
        <w:rPr>
          <w:rFonts w:ascii="Calibri" w:hAnsi="Calibri" w:eastAsia="Calibri"/>
          <w:b/>
        </w:rPr>
        <w:t>3,14</w:t>
      </w:r>
      <w:r>
        <w:rPr>
          <w:rFonts w:ascii="Calibri" w:hAnsi="Calibri" w:eastAsia="Calibri"/>
        </w:rPr>
        <w:t>, y es significativamente menor que cada una de las otras 14 afirmaciones (diferencias de 0,56 a 1,13 puntos; todas con p ajustado &lt; 0,001). Si se toman solo las dos afirmaciones de contactos (P11 y P12), el promedio es 3,45, bajo todas las demás dimensiones (p &lt; 0,001).</w:t>
      </w:r>
    </w:p>
    <w:p>
      <w:pPr>
        <w:keepNext/>
        <w:spacing w:after="40"/>
        <w:jc w:val="center"/>
      </w:pPr>
      <w:r>
        <w:drawing>
          <wp:inline xmlns:a="http://schemas.openxmlformats.org/drawingml/2006/main" xmlns:pic="http://schemas.openxmlformats.org/drawingml/2006/picture">
            <wp:extent cx="5832000" cy="1858896"/>
            <wp:docPr id="8" name="Picture 8"/>
            <wp:cNvGraphicFramePr>
              <a:graphicFrameLocks noChangeAspect="1"/>
            </wp:cNvGraphicFramePr>
            <a:graphic>
              <a:graphicData uri="http://schemas.openxmlformats.org/drawingml/2006/picture">
                <pic:pic>
                  <pic:nvPicPr>
                    <pic:cNvPr id="0" name="g16_redes.png"/>
                    <pic:cNvPicPr/>
                  </pic:nvPicPr>
                  <pic:blipFill>
                    <a:blip r:embed="rId18"/>
                    <a:stretch>
                      <a:fillRect/>
                    </a:stretch>
                  </pic:blipFill>
                  <pic:spPr>
                    <a:xfrm>
                      <a:off x="0" y="0"/>
                      <a:ext cx="5832000" cy="1858896"/>
                    </a:xfrm>
                    <a:prstGeom prst="rect"/>
                  </pic:spPr>
                </pic:pic>
              </a:graphicData>
            </a:graphic>
          </wp:inline>
        </w:drawing>
      </w:r>
    </w:p>
    <w:p>
      <w:pPr>
        <w:spacing w:after="200"/>
        <w:jc w:val="center"/>
      </w:pPr>
      <w:r>
        <w:rPr>
          <w:rFonts w:ascii="Calibri" w:hAnsi="Calibri" w:eastAsia="Calibri"/>
          <w:i/>
          <w:color w:val="8892A6"/>
          <w:sz w:val="17"/>
        </w:rPr>
        <w:t>Figura 7. Interés alto, red baja.</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1F8A8A"/>
            <w:tcMar>
              <w:top w:w="0" w:type="dxa"/>
              <w:left w:w="0" w:type="dxa"/>
              <w:bottom w:w="0" w:type="dxa"/>
              <w:right w:w="0" w:type="dxa"/>
            </w:tcMar>
          </w:tcPr>
          <w:p/>
        </w:tc>
        <w:tc>
          <w:tcPr>
            <w:tcW w:type="dxa" w:w="9213"/>
            <w:shd w:val="clear" w:color="auto" w:fill="F3F6FA"/>
            <w:tcMar>
              <w:top w:w="120" w:type="dxa"/>
              <w:left w:w="200" w:type="dxa"/>
              <w:bottom w:w="120" w:type="dxa"/>
              <w:right w:w="160" w:type="dxa"/>
            </w:tcMar>
          </w:tcPr>
          <w:p>
            <w:pPr>
              <w:spacing w:after="40"/>
            </w:pPr>
            <w:r>
              <w:rPr>
                <w:rFonts w:ascii="Calibri" w:hAnsi="Calibri" w:eastAsia="Calibri"/>
                <w:b/>
                <w:color w:val="1F8A8A"/>
                <w:sz w:val="21"/>
              </w:rPr>
              <w:t>Veredicto H3</w:t>
            </w:r>
          </w:p>
          <w:p>
            <w:pPr>
              <w:spacing w:after="40"/>
            </w:pPr>
            <w:r>
              <w:rPr>
                <w:rFonts w:ascii="Calibri" w:hAnsi="Calibri" w:eastAsia="Calibri"/>
                <w:sz w:val="20"/>
              </w:rPr>
              <w:t>RESPALDADA (fuerte para P12 y la red de contactos; moderada para la dimensión D4 completa). La red de contactos es la brecha mayor y es transversal: no depende de tener o no práctica previa (P12 promedia 3,30 con práctica y 3,03 sin práctica, ambos por debajo del resto de las afirmaciones). En línea con Granovetter (1973), los vínculos con personas fuera del círculo cercano son un recurso que hoy los estudiantes no tienen.</w:t>
            </w:r>
          </w:p>
        </w:tc>
      </w:tr>
    </w:tbl>
    <w:p>
      <w:pPr>
        <w:spacing w:after="40"/>
      </w:pPr>
    </w:p>
    <w:p>
      <w:pPr>
        <w:pStyle w:val="Heading2"/>
      </w:pPr>
      <w:r>
        <w:t>4.4 H4: conocer y probar el trabajo real se asocia con más seguridad</w:t>
      </w:r>
    </w:p>
    <w:p>
      <w:pPr>
        <w:keepNext/>
        <w:spacing w:after="40"/>
        <w:jc w:val="center"/>
      </w:pPr>
      <w:r>
        <w:drawing>
          <wp:inline xmlns:a="http://schemas.openxmlformats.org/drawingml/2006/main" xmlns:pic="http://schemas.openxmlformats.org/drawingml/2006/picture">
            <wp:extent cx="3960000" cy="3456458"/>
            <wp:docPr id="9" name="Picture 9"/>
            <wp:cNvGraphicFramePr>
              <a:graphicFrameLocks noChangeAspect="1"/>
            </wp:cNvGraphicFramePr>
            <a:graphic>
              <a:graphicData uri="http://schemas.openxmlformats.org/drawingml/2006/picture">
                <pic:pic>
                  <pic:nvPicPr>
                    <pic:cNvPr id="0" name="g09_p09_p10.png"/>
                    <pic:cNvPicPr/>
                  </pic:nvPicPr>
                  <pic:blipFill>
                    <a:blip r:embed="rId19"/>
                    <a:stretch>
                      <a:fillRect/>
                    </a:stretch>
                  </pic:blipFill>
                  <pic:spPr>
                    <a:xfrm>
                      <a:off x="0" y="0"/>
                      <a:ext cx="3960000" cy="3456458"/>
                    </a:xfrm>
                    <a:prstGeom prst="rect"/>
                  </pic:spPr>
                </pic:pic>
              </a:graphicData>
            </a:graphic>
          </wp:inline>
        </w:drawing>
      </w:r>
    </w:p>
    <w:p>
      <w:pPr>
        <w:spacing w:after="200"/>
        <w:jc w:val="center"/>
      </w:pPr>
      <w:r>
        <w:rPr>
          <w:rFonts w:ascii="Calibri" w:hAnsi="Calibri" w:eastAsia="Calibri"/>
          <w:i/>
          <w:color w:val="8892A6"/>
          <w:sz w:val="17"/>
        </w:rPr>
        <w:t>Figura 8. Haber comprobado si el trabajo calza (P09) y seguridad de adaptarse (P10).</w:t>
      </w:r>
    </w:p>
    <w:p>
      <w:r>
        <w:rPr>
          <w:rFonts w:ascii="Calibri" w:hAnsi="Calibri" w:eastAsia="Calibri"/>
        </w:rPr>
        <w:t xml:space="preserve">La seguridad de adaptarse a un puesto (P10) se asocia de forma </w:t>
      </w:r>
      <w:r>
        <w:rPr>
          <w:rFonts w:ascii="Calibri" w:hAnsi="Calibri" w:eastAsia="Calibri"/>
          <w:b/>
        </w:rPr>
        <w:t>moderada a fuerte</w:t>
      </w:r>
      <w:r>
        <w:rPr>
          <w:rFonts w:ascii="Calibri" w:hAnsi="Calibri" w:eastAsia="Calibri"/>
        </w:rPr>
        <w:t xml:space="preserve"> con conocer las tareas reales (P01: rho = 0,48), las exigencias de las empresas (P02: 0,48), haber contrastado el trabajo con los propios intereses (P09: 0,47), aplicar lo aprendido (P05: 0,47), confiar ante lo nuevo (P03: 0,42) y tener una red de contactos (P12: 0,37). Todas con p &lt; 0,001.</w:t>
      </w:r>
    </w:p>
    <w:p>
      <w:pPr>
        <w:keepNext/>
        <w:spacing w:after="40"/>
        <w:jc w:val="center"/>
      </w:pPr>
      <w:r>
        <w:drawing>
          <wp:inline xmlns:a="http://schemas.openxmlformats.org/drawingml/2006/main" xmlns:pic="http://schemas.openxmlformats.org/drawingml/2006/picture">
            <wp:extent cx="4680000" cy="1869594"/>
            <wp:docPr id="10" name="Picture 10"/>
            <wp:cNvGraphicFramePr>
              <a:graphicFrameLocks noChangeAspect="1"/>
            </wp:cNvGraphicFramePr>
            <a:graphic>
              <a:graphicData uri="http://schemas.openxmlformats.org/drawingml/2006/picture">
                <pic:pic>
                  <pic:nvPicPr>
                    <pic:cNvPr id="0" name="g13_h4.png"/>
                    <pic:cNvPicPr/>
                  </pic:nvPicPr>
                  <pic:blipFill>
                    <a:blip r:embed="rId20"/>
                    <a:stretch>
                      <a:fillRect/>
                    </a:stretch>
                  </pic:blipFill>
                  <pic:spPr>
                    <a:xfrm>
                      <a:off x="0" y="0"/>
                      <a:ext cx="4680000" cy="1869594"/>
                    </a:xfrm>
                    <a:prstGeom prst="rect"/>
                  </pic:spPr>
                </pic:pic>
              </a:graphicData>
            </a:graphic>
          </wp:inline>
        </w:drawing>
      </w:r>
    </w:p>
    <w:p>
      <w:pPr>
        <w:spacing w:after="200"/>
        <w:jc w:val="center"/>
      </w:pPr>
      <w:r>
        <w:rPr>
          <w:rFonts w:ascii="Calibri" w:hAnsi="Calibri" w:eastAsia="Calibri"/>
          <w:i/>
          <w:color w:val="8892A6"/>
          <w:sz w:val="17"/>
        </w:rPr>
        <w:t>Figura 9. Aporte de cada factor a la seguridad de adaptarse (manteniendo constantes los demás).</w:t>
      </w:r>
    </w:p>
    <w:p>
      <w:r>
        <w:rPr>
          <w:rFonts w:ascii="Calibri" w:hAnsi="Calibri" w:eastAsia="Calibri"/>
        </w:rPr>
        <w:t xml:space="preserve">Al analizar los factores </w:t>
      </w:r>
      <w:r>
        <w:rPr>
          <w:rFonts w:ascii="Calibri" w:hAnsi="Calibri" w:eastAsia="Calibri"/>
          <w:b/>
        </w:rPr>
        <w:t>a la vez</w:t>
      </w:r>
      <w:r>
        <w:rPr>
          <w:rFonts w:ascii="Calibri" w:hAnsi="Calibri" w:eastAsia="Calibri"/>
        </w:rPr>
        <w:t xml:space="preserve"> (regresión, n = 171), el modelo explica el </w:t>
      </w:r>
      <w:r>
        <w:rPr>
          <w:rFonts w:ascii="Calibri" w:hAnsi="Calibri" w:eastAsia="Calibri"/>
          <w:b/>
        </w:rPr>
        <w:t>49 %</w:t>
      </w:r>
      <w:r>
        <w:rPr>
          <w:rFonts w:ascii="Calibri" w:hAnsi="Calibri" w:eastAsia="Calibri"/>
        </w:rPr>
        <w:t xml:space="preserve"> de las diferencias en seguridad. Aportan por sí solos: aplicar lo aprendido (P05; p = 0,002), conocer las tareas reales (P01; p = 0,005) y haber comprobado si el trabajo calza (P09; p = 0,02). La red de contactos (P12) queda en el límite (p = 0,06). </w:t>
      </w:r>
      <w:r>
        <w:rPr>
          <w:rFonts w:ascii="Calibri" w:hAnsi="Calibri" w:eastAsia="Calibri"/>
          <w:b/>
        </w:rPr>
        <w:t>Ni la práctica previa ni el año de estudio aportan una vez controlado lo anterior</w:t>
      </w:r>
      <w:r>
        <w:rPr>
          <w:rFonts w:ascii="Calibri" w:hAnsi="Calibri" w:eastAsia="Calibri"/>
        </w:rPr>
        <w:t xml:space="preserve"> (p = 0,54 y p = 0,61).</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1F8A8A"/>
            <w:tcMar>
              <w:top w:w="0" w:type="dxa"/>
              <w:left w:w="0" w:type="dxa"/>
              <w:bottom w:w="0" w:type="dxa"/>
              <w:right w:w="0" w:type="dxa"/>
            </w:tcMar>
          </w:tcPr>
          <w:p/>
        </w:tc>
        <w:tc>
          <w:tcPr>
            <w:tcW w:type="dxa" w:w="9213"/>
            <w:shd w:val="clear" w:color="auto" w:fill="F3F6FA"/>
            <w:tcMar>
              <w:top w:w="120" w:type="dxa"/>
              <w:left w:w="200" w:type="dxa"/>
              <w:bottom w:w="120" w:type="dxa"/>
              <w:right w:w="160" w:type="dxa"/>
            </w:tcMar>
          </w:tcPr>
          <w:p>
            <w:pPr>
              <w:spacing w:after="40"/>
            </w:pPr>
            <w:r>
              <w:rPr>
                <w:rFonts w:ascii="Calibri" w:hAnsi="Calibri" w:eastAsia="Calibri"/>
                <w:b/>
                <w:color w:val="1F8A8A"/>
                <w:sz w:val="21"/>
              </w:rPr>
              <w:t>Veredicto H4</w:t>
            </w:r>
          </w:p>
          <w:p>
            <w:pPr>
              <w:spacing w:after="40"/>
            </w:pPr>
            <w:r>
              <w:rPr>
                <w:rFonts w:ascii="Calibri" w:hAnsi="Calibri" w:eastAsia="Calibri"/>
                <w:sz w:val="20"/>
              </w:rPr>
              <w:t xml:space="preserve">RESPALDADA (como asociación). [INTERPRETACIÓN] Un hallazgo valioso para el diseño: lo que parece importar no es «haber tenido una práctica», sino </w:t>
            </w:r>
            <w:r>
              <w:rPr>
                <w:rFonts w:ascii="Calibri" w:hAnsi="Calibri" w:eastAsia="Calibri"/>
                <w:b/>
                <w:sz w:val="20"/>
              </w:rPr>
              <w:t>qué se aprendió en ella</w:t>
            </w:r>
            <w:r>
              <w:rPr>
                <w:rFonts w:ascii="Calibri" w:hAnsi="Calibri" w:eastAsia="Calibri"/>
                <w:sz w:val="20"/>
              </w:rPr>
              <w:t xml:space="preserve"> (conocer tareas y exigencias, contrastar con los intereses). Esto sugiere que actividades breves y bien diseñadas de contacto con el trabajo real podrían producir parte del efecto sin esperar una práctica completa. Esto es una </w:t>
            </w:r>
            <w:r>
              <w:rPr>
                <w:rFonts w:ascii="Calibri" w:hAnsi="Calibri" w:eastAsia="Calibri"/>
                <w:b/>
                <w:sz w:val="20"/>
              </w:rPr>
              <w:t>hipótesis a probar</w:t>
            </w:r>
            <w:r>
              <w:rPr>
                <w:rFonts w:ascii="Calibri" w:hAnsi="Calibri" w:eastAsia="Calibri"/>
                <w:sz w:val="20"/>
              </w:rPr>
              <w:t>, no una conclusión: los datos no permiten afirmar causalidad y las respuestas provienen todas de la misma persona (Podsakoff et al., 2003).</w:t>
            </w:r>
          </w:p>
        </w:tc>
      </w:tr>
    </w:tbl>
    <w:p>
      <w:pPr>
        <w:spacing w:after="40"/>
      </w:pPr>
    </w:p>
    <w:p>
      <w:pPr>
        <w:pStyle w:val="Heading2"/>
      </w:pPr>
      <w:r>
        <w:t>4.5 H5: alta demanda de proyectos con empresas reales</w:t>
      </w:r>
    </w:p>
    <w:p>
      <w:r>
        <w:rPr>
          <w:rFonts w:ascii="Calibri" w:hAnsi="Calibri" w:eastAsia="Calibri"/>
        </w:rPr>
        <w:t xml:space="preserve">150 de 180 estudiantes (83,3 %; intervalo 95 %: 77 % a 88 %) están de acuerdo con participar en proyectos o consultorías con empresas reales antes de su práctica. Es significativamente mayor al umbral de 70 % (p &lt; 0,001). Es una demanda </w:t>
      </w:r>
      <w:r>
        <w:rPr>
          <w:rFonts w:ascii="Calibri" w:hAnsi="Calibri" w:eastAsia="Calibri"/>
          <w:b/>
        </w:rPr>
        <w:t>homogénea</w:t>
      </w:r>
      <w:r>
        <w:rPr>
          <w:rFonts w:ascii="Calibri" w:hAnsi="Calibri" w:eastAsia="Calibri"/>
        </w:rPr>
        <w:t xml:space="preserve">: 83 % tanto con como sin práctica previa, y entre 71 % y 92 % según el año (sin diferencias claras; p = 0,29). Además, el interés es mayor entre quienes ya contrastaron el trabajo real con sus intereses (P09 alto: 90 % vs. P09 bajo: 72 %; rho = 0,25): </w:t>
      </w:r>
      <w:r>
        <w:rPr>
          <w:rFonts w:ascii="Calibri" w:hAnsi="Calibri" w:eastAsia="Calibri"/>
          <w:b/>
        </w:rPr>
        <w:t>quien prueba, quiere más.</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1F8A8A"/>
            <w:tcMar>
              <w:top w:w="0" w:type="dxa"/>
              <w:left w:w="0" w:type="dxa"/>
              <w:bottom w:w="0" w:type="dxa"/>
              <w:right w:w="0" w:type="dxa"/>
            </w:tcMar>
          </w:tcPr>
          <w:p/>
        </w:tc>
        <w:tc>
          <w:tcPr>
            <w:tcW w:type="dxa" w:w="9213"/>
            <w:shd w:val="clear" w:color="auto" w:fill="F3F6FA"/>
            <w:tcMar>
              <w:top w:w="120" w:type="dxa"/>
              <w:left w:w="200" w:type="dxa"/>
              <w:bottom w:w="120" w:type="dxa"/>
              <w:right w:w="160" w:type="dxa"/>
            </w:tcMar>
          </w:tcPr>
          <w:p>
            <w:pPr>
              <w:spacing w:after="40"/>
            </w:pPr>
            <w:r>
              <w:rPr>
                <w:rFonts w:ascii="Calibri" w:hAnsi="Calibri" w:eastAsia="Calibri"/>
                <w:b/>
                <w:color w:val="1F8A8A"/>
                <w:sz w:val="21"/>
              </w:rPr>
              <w:t>Veredicto H5</w:t>
            </w:r>
          </w:p>
          <w:p>
            <w:pPr>
              <w:spacing w:after="40"/>
            </w:pPr>
            <w:r>
              <w:rPr>
                <w:rFonts w:ascii="Calibri" w:hAnsi="Calibri" w:eastAsia="Calibri"/>
                <w:sz w:val="20"/>
              </w:rPr>
              <w:t>RESPALDADA. Existe una base amplia y transversal de interés para iniciativas tipo La Puerta, incluso entre quienes aún no han tenido contacto con empresas.</w:t>
            </w:r>
          </w:p>
        </w:tc>
      </w:tr>
    </w:tbl>
    <w:p>
      <w:pPr>
        <w:spacing w:after="40"/>
      </w:pPr>
    </w:p>
    <w:p>
      <w:pPr>
        <w:pStyle w:val="Heading2"/>
      </w:pPr>
      <w:r>
        <w:t>4.6 H6: efecto de La Puerta (antes/después con grupo de comparación)</w:t>
      </w:r>
    </w:p>
    <w:p>
      <w:pPr>
        <w:keepNext/>
        <w:spacing w:after="40"/>
        <w:jc w:val="center"/>
      </w:pPr>
      <w:r>
        <w:drawing>
          <wp:inline xmlns:a="http://schemas.openxmlformats.org/drawingml/2006/main" xmlns:pic="http://schemas.openxmlformats.org/drawingml/2006/picture">
            <wp:extent cx="5832000" cy="1778008"/>
            <wp:docPr id="11" name="Picture 11"/>
            <wp:cNvGraphicFramePr>
              <a:graphicFrameLocks noChangeAspect="1"/>
            </wp:cNvGraphicFramePr>
            <a:graphic>
              <a:graphicData uri="http://schemas.openxmlformats.org/drawingml/2006/picture">
                <pic:pic>
                  <pic:nvPicPr>
                    <pic:cNvPr id="0" name="g20_diseno_futuro.png"/>
                    <pic:cNvPicPr/>
                  </pic:nvPicPr>
                  <pic:blipFill>
                    <a:blip r:embed="rId21"/>
                    <a:stretch>
                      <a:fillRect/>
                    </a:stretch>
                  </pic:blipFill>
                  <pic:spPr>
                    <a:xfrm>
                      <a:off x="0" y="0"/>
                      <a:ext cx="5832000" cy="1778008"/>
                    </a:xfrm>
                    <a:prstGeom prst="rect"/>
                  </pic:spPr>
                </pic:pic>
              </a:graphicData>
            </a:graphic>
          </wp:inline>
        </w:drawing>
      </w:r>
    </w:p>
    <w:p>
      <w:pPr>
        <w:spacing w:after="200"/>
        <w:jc w:val="center"/>
      </w:pPr>
      <w:r>
        <w:rPr>
          <w:rFonts w:ascii="Calibri" w:hAnsi="Calibri" w:eastAsia="Calibri"/>
          <w:i/>
          <w:color w:val="8892A6"/>
          <w:sz w:val="17"/>
        </w:rPr>
        <w:t>Figura 10. Lo que falta para evaluar el programa.</w:t>
      </w:r>
    </w:p>
    <w:p>
      <w:r>
        <w:rPr>
          <w:rFonts w:ascii="Calibri" w:hAnsi="Calibri" w:eastAsia="Calibri"/>
          <w:b/>
        </w:rPr>
        <w:t>No evaluable.</w:t>
      </w:r>
      <w:r>
        <w:rPr>
          <w:rFonts w:ascii="Calibri" w:hAnsi="Calibri" w:eastAsia="Calibri"/>
        </w:rPr>
        <w:t xml:space="preserve"> Para atribuir cambios al programa se requiere (1) un código único por estudiante que permita emparejar su «antes» y su «después»; (2) el momento de medición; (3) la asignación a grupo (La Puerta/comparación); y (4) la valoración del programa (POST_EXP1). Las cuatro columnas están vacías. Es la brecha más importante del proyecto y, a la vez, la más fácil de corregir antes de la próxima aplicación. La hoja «Matriz_Análisis» contiene solo una fila de demostración (LP-DEMO-01) que </w:t>
      </w:r>
      <w:r>
        <w:rPr>
          <w:rFonts w:ascii="Calibri" w:hAnsi="Calibri" w:eastAsia="Calibri"/>
          <w:b/>
        </w:rPr>
        <w:t>no se usó</w:t>
      </w:r>
      <w:r>
        <w:rPr>
          <w:rFonts w:ascii="Calibri" w:hAnsi="Calibri" w:eastAsia="Calibri"/>
        </w:rPr>
        <w:t xml:space="preserve"> en este análisis.</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8892A6"/>
            <w:tcMar>
              <w:top w:w="0" w:type="dxa"/>
              <w:left w:w="0" w:type="dxa"/>
              <w:bottom w:w="0" w:type="dxa"/>
              <w:right w:w="0" w:type="dxa"/>
            </w:tcMar>
          </w:tcPr>
          <w:p/>
        </w:tc>
        <w:tc>
          <w:tcPr>
            <w:tcW w:type="dxa" w:w="9213"/>
            <w:shd w:val="clear" w:color="auto" w:fill="F0F3F8"/>
            <w:tcMar>
              <w:top w:w="120" w:type="dxa"/>
              <w:left w:w="200" w:type="dxa"/>
              <w:bottom w:w="120" w:type="dxa"/>
              <w:right w:w="160" w:type="dxa"/>
            </w:tcMar>
          </w:tcPr>
          <w:p>
            <w:pPr>
              <w:spacing w:after="40"/>
            </w:pPr>
            <w:r>
              <w:rPr>
                <w:rFonts w:ascii="Calibri" w:hAnsi="Calibri" w:eastAsia="Calibri"/>
                <w:b/>
                <w:color w:val="8892A6"/>
                <w:sz w:val="21"/>
              </w:rPr>
              <w:t>Veredicto H6</w:t>
            </w:r>
          </w:p>
          <w:p>
            <w:pPr>
              <w:spacing w:after="40"/>
            </w:pPr>
            <w:r>
              <w:rPr>
                <w:rFonts w:ascii="Calibri" w:hAnsi="Calibri" w:eastAsia="Calibri"/>
                <w:sz w:val="20"/>
              </w:rPr>
              <w:t>NO EVALUABLE con esta base. Ver R1.</w:t>
            </w:r>
          </w:p>
        </w:tc>
      </w:tr>
    </w:tbl>
    <w:p>
      <w:pPr>
        <w:spacing w:after="40"/>
      </w:pPr>
    </w:p>
    <w:p>
      <w:pPr>
        <w:pStyle w:val="Heading1"/>
        <w:pageBreakBefore/>
      </w:pPr>
      <w:r>
        <w:t>5. Hallazgos principales</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567"/>
        <w:gridCol w:w="6690"/>
        <w:gridCol w:w="2154"/>
      </w:tblGrid>
      <w:tr>
        <w:trPr>
          <w:tblHeader w:val="true"/>
        </w:trPr>
        <w:tc>
          <w:tcPr>
            <w:tcW w:type="dxa" w:w="567"/>
            <w:shd w:val="clear" w:color="auto" w:fill="1B2A49"/>
            <w:tcMar>
              <w:top w:w="70" w:type="dxa"/>
              <w:left w:w="90" w:type="dxa"/>
              <w:bottom w:w="70" w:type="dxa"/>
              <w:right w:w="90" w:type="dxa"/>
            </w:tcMar>
          </w:tcPr>
          <w:p>
            <w:pPr>
              <w:spacing w:after="0"/>
            </w:pPr>
            <w:r>
              <w:rPr>
                <w:rFonts w:ascii="Calibri" w:hAnsi="Calibri" w:eastAsia="Calibri"/>
                <w:b/>
                <w:color w:val="FFFFFF"/>
                <w:sz w:val="19"/>
              </w:rPr>
              <w:t>N.º</w:t>
            </w:r>
          </w:p>
        </w:tc>
        <w:tc>
          <w:tcPr>
            <w:tcW w:type="dxa" w:w="6690"/>
            <w:shd w:val="clear" w:color="auto" w:fill="1B2A49"/>
            <w:tcMar>
              <w:top w:w="70" w:type="dxa"/>
              <w:left w:w="90" w:type="dxa"/>
              <w:bottom w:w="70" w:type="dxa"/>
              <w:right w:w="90" w:type="dxa"/>
            </w:tcMar>
          </w:tcPr>
          <w:p>
            <w:pPr>
              <w:spacing w:after="0"/>
            </w:pPr>
            <w:r>
              <w:rPr>
                <w:rFonts w:ascii="Calibri" w:hAnsi="Calibri" w:eastAsia="Calibri"/>
                <w:b/>
                <w:color w:val="FFFFFF"/>
                <w:sz w:val="19"/>
              </w:rPr>
              <w:t>Hallazgo</w:t>
            </w:r>
          </w:p>
        </w:tc>
        <w:tc>
          <w:tcPr>
            <w:tcW w:type="dxa" w:w="2154"/>
            <w:shd w:val="clear" w:color="auto" w:fill="1B2A49"/>
            <w:tcMar>
              <w:top w:w="70" w:type="dxa"/>
              <w:left w:w="90" w:type="dxa"/>
              <w:bottom w:w="70" w:type="dxa"/>
              <w:right w:w="90" w:type="dxa"/>
            </w:tcMar>
          </w:tcPr>
          <w:p>
            <w:pPr>
              <w:spacing w:after="0"/>
            </w:pPr>
            <w:r>
              <w:rPr>
                <w:rFonts w:ascii="Calibri" w:hAnsi="Calibri" w:eastAsia="Calibri"/>
                <w:b/>
                <w:color w:val="FFFFFF"/>
                <w:sz w:val="19"/>
              </w:rPr>
              <w:t>Estatus</w:t>
            </w:r>
          </w:p>
        </w:tc>
      </w:tr>
      <w:tr>
        <w:trPr>
          <w:cantSplit/>
        </w:trPr>
        <w:tc>
          <w:tcPr>
            <w:tcW w:type="dxa" w:w="567"/>
            <w:tcMar>
              <w:top w:w="60" w:type="dxa"/>
              <w:left w:w="90" w:type="dxa"/>
              <w:bottom w:w="60" w:type="dxa"/>
              <w:right w:w="90" w:type="dxa"/>
            </w:tcMar>
            <w:vAlign w:val="center"/>
          </w:tcPr>
          <w:p>
            <w:pPr>
              <w:spacing w:after="0"/>
              <w:jc w:val="center"/>
            </w:pPr>
            <w:r>
              <w:rPr>
                <w:rFonts w:ascii="Calibri" w:hAnsi="Calibri" w:eastAsia="Calibri"/>
                <w:sz w:val="19"/>
              </w:rPr>
              <w:t>1</w:t>
            </w:r>
          </w:p>
        </w:tc>
        <w:tc>
          <w:tcPr>
            <w:tcW w:type="dxa" w:w="6690"/>
            <w:tcMar>
              <w:top w:w="60" w:type="dxa"/>
              <w:left w:w="90" w:type="dxa"/>
              <w:bottom w:w="60" w:type="dxa"/>
              <w:right w:w="90" w:type="dxa"/>
            </w:tcMar>
            <w:vAlign w:val="center"/>
          </w:tcPr>
          <w:p>
            <w:pPr>
              <w:spacing w:after="0"/>
            </w:pPr>
            <w:r>
              <w:rPr>
                <w:rFonts w:ascii="Calibri" w:hAnsi="Calibri" w:eastAsia="Calibri"/>
                <w:sz w:val="19"/>
              </w:rPr>
              <w:t>La práctica previa se asocia con puntajes algo más altos (+0,17), pero muy por debajo de la brecha proyectada (0,8–1,2) y sin concluir estadísticamente. H1: parcial.</w:t>
            </w:r>
          </w:p>
        </w:tc>
        <w:tc>
          <w:tcPr>
            <w:tcW w:type="dxa" w:w="2154"/>
            <w:tcMar>
              <w:top w:w="60" w:type="dxa"/>
              <w:left w:w="90" w:type="dxa"/>
              <w:bottom w:w="60" w:type="dxa"/>
              <w:right w:w="90" w:type="dxa"/>
            </w:tcMar>
            <w:vAlign w:val="center"/>
            <w:shd w:val="clear" w:color="auto" w:fill="1F8A8A"/>
          </w:tcPr>
          <w:p>
            <w:pPr>
              <w:spacing w:after="0"/>
              <w:jc w:val="center"/>
            </w:pPr>
            <w:r>
              <w:rPr>
                <w:rFonts w:ascii="Calibri" w:hAnsi="Calibri" w:eastAsia="Calibri"/>
                <w:b/>
                <w:color w:val="FFFFFF"/>
                <w:sz w:val="19"/>
              </w:rPr>
              <w:t>[HECHO]</w:t>
            </w:r>
          </w:p>
        </w:tc>
      </w:tr>
      <w:tr>
        <w:trPr>
          <w:cantSplit/>
        </w:trPr>
        <w:tc>
          <w:tcPr>
            <w:tcW w:type="dxa" w:w="567"/>
            <w:tcMar>
              <w:top w:w="60" w:type="dxa"/>
              <w:left w:w="90" w:type="dxa"/>
              <w:bottom w:w="60" w:type="dxa"/>
              <w:right w:w="90" w:type="dxa"/>
            </w:tcMar>
            <w:vAlign w:val="center"/>
            <w:shd w:val="clear" w:color="auto" w:fill="F7F9FC"/>
          </w:tcPr>
          <w:p>
            <w:pPr>
              <w:spacing w:after="0"/>
              <w:jc w:val="center"/>
            </w:pPr>
            <w:r>
              <w:rPr>
                <w:rFonts w:ascii="Calibri" w:hAnsi="Calibri" w:eastAsia="Calibri"/>
                <w:sz w:val="19"/>
              </w:rPr>
              <w:t>2</w:t>
            </w:r>
          </w:p>
        </w:tc>
        <w:tc>
          <w:tcPr>
            <w:tcW w:type="dxa" w:w="6690"/>
            <w:tcMar>
              <w:top w:w="60" w:type="dxa"/>
              <w:left w:w="90" w:type="dxa"/>
              <w:bottom w:w="60" w:type="dxa"/>
              <w:right w:w="90" w:type="dxa"/>
            </w:tcMar>
            <w:vAlign w:val="center"/>
            <w:shd w:val="clear" w:color="auto" w:fill="F7F9FC"/>
          </w:tcPr>
          <w:p>
            <w:pPr>
              <w:spacing w:after="0"/>
            </w:pPr>
            <w:r>
              <w:rPr>
                <w:rFonts w:ascii="Calibri" w:hAnsi="Calibri" w:eastAsia="Calibri"/>
                <w:sz w:val="19"/>
              </w:rPr>
              <w:t>El Escenario 2 (mixto) describe el nivel de la cohorte, pero no su rasgo central: no hay inequidad marcada por experiencia previa.</w:t>
            </w:r>
          </w:p>
        </w:tc>
        <w:tc>
          <w:tcPr>
            <w:tcW w:type="dxa" w:w="2154"/>
            <w:tcMar>
              <w:top w:w="60" w:type="dxa"/>
              <w:left w:w="90" w:type="dxa"/>
              <w:bottom w:w="60" w:type="dxa"/>
              <w:right w:w="90" w:type="dxa"/>
            </w:tcMar>
            <w:vAlign w:val="center"/>
            <w:shd w:val="clear" w:color="auto" w:fill="F7F9FC"/>
            <w:shd w:val="clear" w:color="auto" w:fill="4C8BD6"/>
          </w:tcPr>
          <w:p>
            <w:pPr>
              <w:spacing w:after="0"/>
              <w:jc w:val="center"/>
            </w:pPr>
            <w:r>
              <w:rPr>
                <w:rFonts w:ascii="Calibri" w:hAnsi="Calibri" w:eastAsia="Calibri"/>
                <w:b/>
                <w:color w:val="FFFFFF"/>
                <w:sz w:val="19"/>
              </w:rPr>
              <w:t>[INTERPRETACIÓN]</w:t>
            </w:r>
          </w:p>
        </w:tc>
      </w:tr>
      <w:tr>
        <w:trPr>
          <w:cantSplit/>
        </w:trPr>
        <w:tc>
          <w:tcPr>
            <w:tcW w:type="dxa" w:w="567"/>
            <w:tcMar>
              <w:top w:w="60" w:type="dxa"/>
              <w:left w:w="90" w:type="dxa"/>
              <w:bottom w:w="60" w:type="dxa"/>
              <w:right w:w="90" w:type="dxa"/>
            </w:tcMar>
            <w:vAlign w:val="center"/>
          </w:tcPr>
          <w:p>
            <w:pPr>
              <w:spacing w:after="0"/>
              <w:jc w:val="center"/>
            </w:pPr>
            <w:r>
              <w:rPr>
                <w:rFonts w:ascii="Calibri" w:hAnsi="Calibri" w:eastAsia="Calibri"/>
                <w:sz w:val="19"/>
              </w:rPr>
              <w:t>3</w:t>
            </w:r>
          </w:p>
        </w:tc>
        <w:tc>
          <w:tcPr>
            <w:tcW w:type="dxa" w:w="6690"/>
            <w:tcMar>
              <w:top w:w="60" w:type="dxa"/>
              <w:left w:w="90" w:type="dxa"/>
              <w:bottom w:w="60" w:type="dxa"/>
              <w:right w:w="90" w:type="dxa"/>
            </w:tcMar>
            <w:vAlign w:val="center"/>
          </w:tcPr>
          <w:p>
            <w:pPr>
              <w:spacing w:after="0"/>
            </w:pPr>
            <w:r>
              <w:rPr>
                <w:rFonts w:ascii="Calibri" w:hAnsi="Calibri" w:eastAsia="Calibri"/>
                <w:sz w:val="19"/>
              </w:rPr>
              <w:t>38 estudiantes (21 %) están en rojo; 28 no tienen práctica previa y 10 sí.</w:t>
            </w:r>
          </w:p>
        </w:tc>
        <w:tc>
          <w:tcPr>
            <w:tcW w:type="dxa" w:w="2154"/>
            <w:tcMar>
              <w:top w:w="60" w:type="dxa"/>
              <w:left w:w="90" w:type="dxa"/>
              <w:bottom w:w="60" w:type="dxa"/>
              <w:right w:w="90" w:type="dxa"/>
            </w:tcMar>
            <w:vAlign w:val="center"/>
            <w:shd w:val="clear" w:color="auto" w:fill="1F8A8A"/>
          </w:tcPr>
          <w:p>
            <w:pPr>
              <w:spacing w:after="0"/>
              <w:jc w:val="center"/>
            </w:pPr>
            <w:r>
              <w:rPr>
                <w:rFonts w:ascii="Calibri" w:hAnsi="Calibri" w:eastAsia="Calibri"/>
                <w:b/>
                <w:color w:val="FFFFFF"/>
                <w:sz w:val="19"/>
              </w:rPr>
              <w:t>[HECHO]</w:t>
            </w:r>
          </w:p>
        </w:tc>
      </w:tr>
      <w:tr>
        <w:trPr>
          <w:cantSplit/>
        </w:trPr>
        <w:tc>
          <w:tcPr>
            <w:tcW w:type="dxa" w:w="567"/>
            <w:tcMar>
              <w:top w:w="60" w:type="dxa"/>
              <w:left w:w="90" w:type="dxa"/>
              <w:bottom w:w="60" w:type="dxa"/>
              <w:right w:w="90" w:type="dxa"/>
            </w:tcMar>
            <w:vAlign w:val="center"/>
            <w:shd w:val="clear" w:color="auto" w:fill="F7F9FC"/>
          </w:tcPr>
          <w:p>
            <w:pPr>
              <w:spacing w:after="0"/>
              <w:jc w:val="center"/>
            </w:pPr>
            <w:r>
              <w:rPr>
                <w:rFonts w:ascii="Calibri" w:hAnsi="Calibri" w:eastAsia="Calibri"/>
                <w:sz w:val="19"/>
              </w:rPr>
              <w:t>4</w:t>
            </w:r>
          </w:p>
        </w:tc>
        <w:tc>
          <w:tcPr>
            <w:tcW w:type="dxa" w:w="6690"/>
            <w:tcMar>
              <w:top w:w="60" w:type="dxa"/>
              <w:left w:w="90" w:type="dxa"/>
              <w:bottom w:w="60" w:type="dxa"/>
              <w:right w:w="90" w:type="dxa"/>
            </w:tcMar>
            <w:vAlign w:val="center"/>
            <w:shd w:val="clear" w:color="auto" w:fill="F7F9FC"/>
          </w:tcPr>
          <w:p>
            <w:pPr>
              <w:spacing w:after="0"/>
            </w:pPr>
            <w:r>
              <w:rPr>
                <w:rFonts w:ascii="Calibri" w:hAnsi="Calibri" w:eastAsia="Calibri"/>
                <w:sz w:val="19"/>
              </w:rPr>
              <w:t>La red de contactos es el punto más débil, en todos los perfiles. H3: respaldada.</w:t>
            </w:r>
          </w:p>
        </w:tc>
        <w:tc>
          <w:tcPr>
            <w:tcW w:type="dxa" w:w="2154"/>
            <w:tcMar>
              <w:top w:w="60" w:type="dxa"/>
              <w:left w:w="90" w:type="dxa"/>
              <w:bottom w:w="60" w:type="dxa"/>
              <w:right w:w="90" w:type="dxa"/>
            </w:tcMar>
            <w:vAlign w:val="center"/>
            <w:shd w:val="clear" w:color="auto" w:fill="F7F9FC"/>
            <w:shd w:val="clear" w:color="auto" w:fill="1F8A8A"/>
          </w:tcPr>
          <w:p>
            <w:pPr>
              <w:spacing w:after="0"/>
              <w:jc w:val="center"/>
            </w:pPr>
            <w:r>
              <w:rPr>
                <w:rFonts w:ascii="Calibri" w:hAnsi="Calibri" w:eastAsia="Calibri"/>
                <w:b/>
                <w:color w:val="FFFFFF"/>
                <w:sz w:val="19"/>
              </w:rPr>
              <w:t>[HECHO]</w:t>
            </w:r>
          </w:p>
        </w:tc>
      </w:tr>
      <w:tr>
        <w:trPr>
          <w:cantSplit/>
        </w:trPr>
        <w:tc>
          <w:tcPr>
            <w:tcW w:type="dxa" w:w="567"/>
            <w:tcMar>
              <w:top w:w="60" w:type="dxa"/>
              <w:left w:w="90" w:type="dxa"/>
              <w:bottom w:w="60" w:type="dxa"/>
              <w:right w:w="90" w:type="dxa"/>
            </w:tcMar>
            <w:vAlign w:val="center"/>
          </w:tcPr>
          <w:p>
            <w:pPr>
              <w:spacing w:after="0"/>
              <w:jc w:val="center"/>
            </w:pPr>
            <w:r>
              <w:rPr>
                <w:rFonts w:ascii="Calibri" w:hAnsi="Calibri" w:eastAsia="Calibri"/>
                <w:sz w:val="19"/>
              </w:rPr>
              <w:t>5</w:t>
            </w:r>
          </w:p>
        </w:tc>
        <w:tc>
          <w:tcPr>
            <w:tcW w:type="dxa" w:w="6690"/>
            <w:tcMar>
              <w:top w:w="60" w:type="dxa"/>
              <w:left w:w="90" w:type="dxa"/>
              <w:bottom w:w="60" w:type="dxa"/>
              <w:right w:w="90" w:type="dxa"/>
            </w:tcMar>
            <w:vAlign w:val="center"/>
          </w:tcPr>
          <w:p>
            <w:pPr>
              <w:spacing w:after="0"/>
            </w:pPr>
            <w:r>
              <w:rPr>
                <w:rFonts w:ascii="Calibri" w:hAnsi="Calibri" w:eastAsia="Calibri"/>
                <w:sz w:val="19"/>
              </w:rPr>
              <w:t>Conocer tareas y exigencias, aplicar lo aprendido y contrastar el trabajo real se asocian con más seguridad de adaptarse; la práctica previa deja de importar al controlarlos. H4: respaldada.</w:t>
            </w:r>
          </w:p>
        </w:tc>
        <w:tc>
          <w:tcPr>
            <w:tcW w:type="dxa" w:w="2154"/>
            <w:tcMar>
              <w:top w:w="60" w:type="dxa"/>
              <w:left w:w="90" w:type="dxa"/>
              <w:bottom w:w="60" w:type="dxa"/>
              <w:right w:w="90" w:type="dxa"/>
            </w:tcMar>
            <w:vAlign w:val="center"/>
            <w:shd w:val="clear" w:color="auto" w:fill="4C8BD6"/>
          </w:tcPr>
          <w:p>
            <w:pPr>
              <w:spacing w:after="0"/>
              <w:jc w:val="center"/>
            </w:pPr>
            <w:r>
              <w:rPr>
                <w:rFonts w:ascii="Calibri" w:hAnsi="Calibri" w:eastAsia="Calibri"/>
                <w:b/>
                <w:color w:val="FFFFFF"/>
                <w:sz w:val="19"/>
              </w:rPr>
              <w:t>[INTERPRETACIÓN]</w:t>
            </w:r>
          </w:p>
        </w:tc>
      </w:tr>
      <w:tr>
        <w:trPr>
          <w:cantSplit/>
        </w:trPr>
        <w:tc>
          <w:tcPr>
            <w:tcW w:type="dxa" w:w="567"/>
            <w:tcMar>
              <w:top w:w="60" w:type="dxa"/>
              <w:left w:w="90" w:type="dxa"/>
              <w:bottom w:w="60" w:type="dxa"/>
              <w:right w:w="90" w:type="dxa"/>
            </w:tcMar>
            <w:vAlign w:val="center"/>
            <w:shd w:val="clear" w:color="auto" w:fill="F7F9FC"/>
          </w:tcPr>
          <w:p>
            <w:pPr>
              <w:spacing w:after="0"/>
              <w:jc w:val="center"/>
            </w:pPr>
            <w:r>
              <w:rPr>
                <w:rFonts w:ascii="Calibri" w:hAnsi="Calibri" w:eastAsia="Calibri"/>
                <w:sz w:val="19"/>
              </w:rPr>
              <w:t>6</w:t>
            </w:r>
          </w:p>
        </w:tc>
        <w:tc>
          <w:tcPr>
            <w:tcW w:type="dxa" w:w="6690"/>
            <w:tcMar>
              <w:top w:w="60" w:type="dxa"/>
              <w:left w:w="90" w:type="dxa"/>
              <w:bottom w:w="60" w:type="dxa"/>
              <w:right w:w="90" w:type="dxa"/>
            </w:tcMar>
            <w:vAlign w:val="center"/>
            <w:shd w:val="clear" w:color="auto" w:fill="F7F9FC"/>
          </w:tcPr>
          <w:p>
            <w:pPr>
              <w:spacing w:after="0"/>
            </w:pPr>
            <w:r>
              <w:rPr>
                <w:rFonts w:ascii="Calibri" w:hAnsi="Calibri" w:eastAsia="Calibri"/>
                <w:sz w:val="19"/>
              </w:rPr>
              <w:t>El 83 % quiere proyectos con empresas reales, sin distinción por perfil. H5: respaldada.</w:t>
            </w:r>
          </w:p>
        </w:tc>
        <w:tc>
          <w:tcPr>
            <w:tcW w:type="dxa" w:w="2154"/>
            <w:tcMar>
              <w:top w:w="60" w:type="dxa"/>
              <w:left w:w="90" w:type="dxa"/>
              <w:bottom w:w="60" w:type="dxa"/>
              <w:right w:w="90" w:type="dxa"/>
            </w:tcMar>
            <w:vAlign w:val="center"/>
            <w:shd w:val="clear" w:color="auto" w:fill="F7F9FC"/>
            <w:shd w:val="clear" w:color="auto" w:fill="1F8A8A"/>
          </w:tcPr>
          <w:p>
            <w:pPr>
              <w:spacing w:after="0"/>
              <w:jc w:val="center"/>
            </w:pPr>
            <w:r>
              <w:rPr>
                <w:rFonts w:ascii="Calibri" w:hAnsi="Calibri" w:eastAsia="Calibri"/>
                <w:b/>
                <w:color w:val="FFFFFF"/>
                <w:sz w:val="19"/>
              </w:rPr>
              <w:t>[HECHO]</w:t>
            </w:r>
          </w:p>
        </w:tc>
      </w:tr>
      <w:tr>
        <w:trPr>
          <w:cantSplit/>
        </w:trPr>
        <w:tc>
          <w:tcPr>
            <w:tcW w:type="dxa" w:w="567"/>
            <w:tcMar>
              <w:top w:w="60" w:type="dxa"/>
              <w:left w:w="90" w:type="dxa"/>
              <w:bottom w:w="60" w:type="dxa"/>
              <w:right w:w="90" w:type="dxa"/>
            </w:tcMar>
            <w:vAlign w:val="center"/>
          </w:tcPr>
          <w:p>
            <w:pPr>
              <w:spacing w:after="0"/>
              <w:jc w:val="center"/>
            </w:pPr>
            <w:r>
              <w:rPr>
                <w:rFonts w:ascii="Calibri" w:hAnsi="Calibri" w:eastAsia="Calibri"/>
                <w:sz w:val="19"/>
              </w:rPr>
              <w:t>7</w:t>
            </w:r>
          </w:p>
        </w:tc>
        <w:tc>
          <w:tcPr>
            <w:tcW w:type="dxa" w:w="6690"/>
            <w:tcMar>
              <w:top w:w="60" w:type="dxa"/>
              <w:left w:w="90" w:type="dxa"/>
              <w:bottom w:w="60" w:type="dxa"/>
              <w:right w:w="90" w:type="dxa"/>
            </w:tcMar>
            <w:vAlign w:val="center"/>
          </w:tcPr>
          <w:p>
            <w:pPr>
              <w:spacing w:after="0"/>
            </w:pPr>
            <w:r>
              <w:rPr>
                <w:rFonts w:ascii="Calibri" w:hAnsi="Calibri" w:eastAsia="Calibri"/>
                <w:sz w:val="19"/>
              </w:rPr>
              <w:t>El año de estudio no ordena los puntajes; hay un valle en 3.º–4.º semestre. H2: no respaldada.</w:t>
            </w:r>
          </w:p>
        </w:tc>
        <w:tc>
          <w:tcPr>
            <w:tcW w:type="dxa" w:w="2154"/>
            <w:tcMar>
              <w:top w:w="60" w:type="dxa"/>
              <w:left w:w="90" w:type="dxa"/>
              <w:bottom w:w="60" w:type="dxa"/>
              <w:right w:w="90" w:type="dxa"/>
            </w:tcMar>
            <w:vAlign w:val="center"/>
            <w:shd w:val="clear" w:color="auto" w:fill="1F8A8A"/>
          </w:tcPr>
          <w:p>
            <w:pPr>
              <w:spacing w:after="0"/>
              <w:jc w:val="center"/>
            </w:pPr>
            <w:r>
              <w:rPr>
                <w:rFonts w:ascii="Calibri" w:hAnsi="Calibri" w:eastAsia="Calibri"/>
                <w:b/>
                <w:color w:val="FFFFFF"/>
                <w:sz w:val="19"/>
              </w:rPr>
              <w:t>[HECHO]</w:t>
            </w:r>
          </w:p>
        </w:tc>
      </w:tr>
      <w:tr>
        <w:trPr>
          <w:cantSplit/>
        </w:trPr>
        <w:tc>
          <w:tcPr>
            <w:tcW w:type="dxa" w:w="567"/>
            <w:tcMar>
              <w:top w:w="60" w:type="dxa"/>
              <w:left w:w="90" w:type="dxa"/>
              <w:bottom w:w="60" w:type="dxa"/>
              <w:right w:w="90" w:type="dxa"/>
            </w:tcMar>
            <w:vAlign w:val="center"/>
            <w:shd w:val="clear" w:color="auto" w:fill="F7F9FC"/>
          </w:tcPr>
          <w:p>
            <w:pPr>
              <w:spacing w:after="0"/>
              <w:jc w:val="center"/>
            </w:pPr>
            <w:r>
              <w:rPr>
                <w:rFonts w:ascii="Calibri" w:hAnsi="Calibri" w:eastAsia="Calibri"/>
                <w:sz w:val="19"/>
              </w:rPr>
              <w:t>8</w:t>
            </w:r>
          </w:p>
        </w:tc>
        <w:tc>
          <w:tcPr>
            <w:tcW w:type="dxa" w:w="6690"/>
            <w:tcMar>
              <w:top w:w="60" w:type="dxa"/>
              <w:left w:w="90" w:type="dxa"/>
              <w:bottom w:w="60" w:type="dxa"/>
              <w:right w:w="90" w:type="dxa"/>
            </w:tcMar>
            <w:vAlign w:val="center"/>
            <w:shd w:val="clear" w:color="auto" w:fill="F7F9FC"/>
          </w:tcPr>
          <w:p>
            <w:pPr>
              <w:spacing w:after="0"/>
            </w:pPr>
            <w:r>
              <w:rPr>
                <w:rFonts w:ascii="Calibri" w:hAnsi="Calibri" w:eastAsia="Calibri"/>
                <w:sz w:val="19"/>
              </w:rPr>
              <w:t>El efecto de La Puerta no se puede evaluar: faltan código, momento, grupo y valoración del programa; tampoco se aplicaron A03 y A04. H6: no evaluable.</w:t>
            </w:r>
          </w:p>
        </w:tc>
        <w:tc>
          <w:tcPr>
            <w:tcW w:type="dxa" w:w="2154"/>
            <w:tcMar>
              <w:top w:w="60" w:type="dxa"/>
              <w:left w:w="90" w:type="dxa"/>
              <w:bottom w:w="60" w:type="dxa"/>
              <w:right w:w="90" w:type="dxa"/>
            </w:tcMar>
            <w:vAlign w:val="center"/>
            <w:shd w:val="clear" w:color="auto" w:fill="F7F9FC"/>
            <w:shd w:val="clear" w:color="auto" w:fill="E4572E"/>
          </w:tcPr>
          <w:p>
            <w:pPr>
              <w:spacing w:after="0"/>
              <w:jc w:val="center"/>
            </w:pPr>
            <w:r>
              <w:rPr>
                <w:rFonts w:ascii="Calibri" w:hAnsi="Calibri" w:eastAsia="Calibri"/>
                <w:b/>
                <w:color w:val="FFFFFF"/>
                <w:sz w:val="19"/>
              </w:rPr>
              <w:t>[BRECHA]</w:t>
            </w:r>
          </w:p>
        </w:tc>
      </w:tr>
    </w:tbl>
    <w:p>
      <w:pPr>
        <w:spacing w:after="40"/>
      </w:pPr>
    </w:p>
    <w:p>
      <w:pPr>
        <w:pStyle w:val="Heading1"/>
        <w:pageBreakBefore/>
      </w:pPr>
      <w:r>
        <w:t>6. Conclusiones</w:t>
      </w:r>
    </w:p>
    <w:p>
      <w:pPr>
        <w:spacing w:after="80"/>
        <w:ind w:left="510" w:hanging="340"/>
      </w:pPr>
      <w:r>
        <w:rPr>
          <w:rFonts w:ascii="Calibri" w:hAnsi="Calibri" w:eastAsia="Calibri"/>
          <w:b/>
        </w:rPr>
        <w:t>1.</w:t>
      </w:r>
      <w:r>
        <w:rPr>
          <w:rFonts w:ascii="Calibri" w:hAnsi="Calibri" w:eastAsia="Calibri"/>
        </w:rPr>
        <w:t xml:space="preserve">  </w:t>
      </w:r>
      <w:r>
        <w:rPr>
          <w:rFonts w:ascii="Calibri" w:hAnsi="Calibri" w:eastAsia="Calibri"/>
          <w:b/>
        </w:rPr>
        <w:t>La hipótesis central del proyecto se sostiene en dirección, pero no en tamaño.</w:t>
      </w:r>
      <w:r>
        <w:rPr>
          <w:rFonts w:ascii="Calibri" w:hAnsi="Calibri" w:eastAsia="Calibri"/>
        </w:rPr>
        <w:t xml:space="preserve"> La práctica previa no es el gran divisor que se proyectaba. Hoy no hay evidencia para tratar a los estudiantes sin práctica previa como un grupo de riesgo por esa sola condición.</w:t>
      </w:r>
    </w:p>
    <w:p>
      <w:pPr>
        <w:spacing w:after="80"/>
        <w:ind w:left="510" w:hanging="340"/>
      </w:pPr>
      <w:r>
        <w:rPr>
          <w:rFonts w:ascii="Calibri" w:hAnsi="Calibri" w:eastAsia="Calibri"/>
          <w:b/>
        </w:rPr>
        <w:t>2.</w:t>
      </w:r>
      <w:r>
        <w:rPr>
          <w:rFonts w:ascii="Calibri" w:hAnsi="Calibri" w:eastAsia="Calibri"/>
        </w:rPr>
        <w:t xml:space="preserve">  </w:t>
      </w:r>
      <w:r>
        <w:rPr>
          <w:rFonts w:ascii="Calibri" w:hAnsi="Calibri" w:eastAsia="Calibri"/>
          <w:b/>
        </w:rPr>
        <w:t>Lo que sí distingue a los estudiantes más seguros es el contacto con el trabajo real</w:t>
      </w:r>
      <w:r>
        <w:rPr>
          <w:rFonts w:ascii="Calibri" w:hAnsi="Calibri" w:eastAsia="Calibri"/>
        </w:rPr>
        <w:t>: saber qué se hace, qué se exige y si el trabajo calza con uno. Eso se puede intervenir sin esperar una práctica completa.</w:t>
      </w:r>
    </w:p>
    <w:p>
      <w:pPr>
        <w:spacing w:after="80"/>
        <w:ind w:left="510" w:hanging="340"/>
      </w:pPr>
      <w:r>
        <w:rPr>
          <w:rFonts w:ascii="Calibri" w:hAnsi="Calibri" w:eastAsia="Calibri"/>
          <w:b/>
        </w:rPr>
        <w:t>3.</w:t>
      </w:r>
      <w:r>
        <w:rPr>
          <w:rFonts w:ascii="Calibri" w:hAnsi="Calibri" w:eastAsia="Calibri"/>
        </w:rPr>
        <w:t xml:space="preserve">  </w:t>
      </w:r>
      <w:r>
        <w:rPr>
          <w:rFonts w:ascii="Calibri" w:hAnsi="Calibri" w:eastAsia="Calibri"/>
          <w:b/>
        </w:rPr>
        <w:t>La red de contactos es la carencia más clara y más intervenible.</w:t>
      </w:r>
    </w:p>
    <w:p>
      <w:pPr>
        <w:spacing w:after="80"/>
        <w:ind w:left="510" w:hanging="340"/>
      </w:pPr>
      <w:r>
        <w:rPr>
          <w:rFonts w:ascii="Calibri" w:hAnsi="Calibri" w:eastAsia="Calibri"/>
          <w:b/>
        </w:rPr>
        <w:t>4.</w:t>
      </w:r>
      <w:r>
        <w:rPr>
          <w:rFonts w:ascii="Calibri" w:hAnsi="Calibri" w:eastAsia="Calibri"/>
        </w:rPr>
        <w:t xml:space="preserve">  </w:t>
      </w:r>
      <w:r>
        <w:rPr>
          <w:rFonts w:ascii="Calibri" w:hAnsi="Calibri" w:eastAsia="Calibri"/>
          <w:b/>
        </w:rPr>
        <w:t>El interés en vincularse con empresas es alto y parejo</w:t>
      </w:r>
      <w:r>
        <w:rPr>
          <w:rFonts w:ascii="Calibri" w:hAnsi="Calibri" w:eastAsia="Calibri"/>
        </w:rPr>
        <w:t>, lo que da legitimidad y demanda a La Puerta.</w:t>
      </w:r>
    </w:p>
    <w:p>
      <w:pPr>
        <w:spacing w:after="80"/>
        <w:ind w:left="510" w:hanging="340"/>
      </w:pPr>
      <w:r>
        <w:rPr>
          <w:rFonts w:ascii="Calibri" w:hAnsi="Calibri" w:eastAsia="Calibri"/>
          <w:b/>
        </w:rPr>
        <w:t>5.</w:t>
      </w:r>
      <w:r>
        <w:rPr>
          <w:rFonts w:ascii="Calibri" w:hAnsi="Calibri" w:eastAsia="Calibri"/>
        </w:rPr>
        <w:t xml:space="preserve">  </w:t>
      </w:r>
      <w:r>
        <w:rPr>
          <w:rFonts w:ascii="Calibri" w:hAnsi="Calibri" w:eastAsia="Calibri"/>
          <w:b/>
        </w:rPr>
        <w:t>La evaluación del programa sigue pendiente</w:t>
      </w:r>
      <w:r>
        <w:rPr>
          <w:rFonts w:ascii="Calibri" w:hAnsi="Calibri" w:eastAsia="Calibri"/>
        </w:rPr>
        <w:t>; el principal obstáculo es de diseño de datos, no de análisis.</w:t>
      </w:r>
    </w:p>
    <w:p>
      <w:pPr>
        <w:pStyle w:val="Heading2"/>
      </w:pPr>
      <w:r>
        <w:t>Limitaciones</w:t>
      </w:r>
    </w:p>
    <w:p>
      <w:pPr>
        <w:pStyle w:val="ListBullet"/>
        <w:spacing w:after="60"/>
      </w:pPr>
      <w:r>
        <w:rPr>
          <w:rFonts w:ascii="Calibri" w:hAnsi="Calibri" w:eastAsia="Calibri"/>
        </w:rPr>
        <w:t>Datos transversales y autopercibidos; no se puede establecer causalidad.</w:t>
      </w:r>
    </w:p>
    <w:p>
      <w:pPr>
        <w:pStyle w:val="ListBullet"/>
        <w:spacing w:after="60"/>
      </w:pPr>
      <w:r>
        <w:rPr>
          <w:rFonts w:ascii="Calibri" w:hAnsi="Calibri" w:eastAsia="Calibri"/>
        </w:rPr>
        <w:t>Poder estadístico acotado: solo detecta diferencias de 0,28 puntos o más; diferencias menores no se pueden descartar.</w:t>
      </w:r>
    </w:p>
    <w:p>
      <w:pPr>
        <w:pStyle w:val="ListBullet"/>
        <w:spacing w:after="60"/>
      </w:pPr>
      <w:r>
        <w:rPr>
          <w:rFonts w:ascii="Calibri" w:hAnsi="Calibri" w:eastAsia="Calibri"/>
        </w:rPr>
        <w:t>Las hipótesis H2–H5 son exploratorias (formuladas tras una primera mirada descriptiva); sus resultados deben replicarse con otra cohorte antes de tomar decisiones de alto costo.</w:t>
      </w:r>
    </w:p>
    <w:p>
      <w:pPr>
        <w:pStyle w:val="ListBullet"/>
        <w:spacing w:after="60"/>
      </w:pPr>
      <w:r>
        <w:rPr>
          <w:rFonts w:ascii="Calibri" w:hAnsi="Calibri" w:eastAsia="Calibri"/>
        </w:rPr>
        <w:t>La equivalencia entre el instrumento del informe metodológico y el aplicado es aproximada.</w:t>
      </w:r>
    </w:p>
    <w:p>
      <w:pPr>
        <w:pStyle w:val="ListBullet"/>
        <w:spacing w:after="60"/>
      </w:pPr>
      <w:r>
        <w:rPr>
          <w:rFonts w:ascii="Calibri" w:hAnsi="Calibri" w:eastAsia="Calibri"/>
        </w:rPr>
        <w:t>La práctica previa se autoinforma y agrupa experiencias muy distintas; no se conoce su duración ni calidad.</w:t>
      </w:r>
    </w:p>
    <w:p>
      <w:pPr>
        <w:pStyle w:val="Heading1"/>
        <w:pageBreakBefore/>
      </w:pPr>
      <w:r>
        <w:t>7. Recomendaciones de mejora</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567"/>
        <w:gridCol w:w="6123"/>
        <w:gridCol w:w="2721"/>
      </w:tblGrid>
      <w:tr>
        <w:trPr>
          <w:tblHeader w:val="true"/>
        </w:trPr>
        <w:tc>
          <w:tcPr>
            <w:tcW w:type="dxa" w:w="567"/>
            <w:shd w:val="clear" w:color="auto" w:fill="1B2A49"/>
            <w:tcMar>
              <w:top w:w="70" w:type="dxa"/>
              <w:left w:w="90" w:type="dxa"/>
              <w:bottom w:w="70" w:type="dxa"/>
              <w:right w:w="90" w:type="dxa"/>
            </w:tcMar>
          </w:tcPr>
          <w:p>
            <w:pPr>
              <w:spacing w:after="0"/>
            </w:pPr>
            <w:r>
              <w:rPr>
                <w:rFonts w:ascii="Calibri" w:hAnsi="Calibri" w:eastAsia="Calibri"/>
                <w:b/>
                <w:color w:val="FFFFFF"/>
                <w:sz w:val="18"/>
              </w:rPr>
              <w:t>Cód.</w:t>
            </w:r>
          </w:p>
        </w:tc>
        <w:tc>
          <w:tcPr>
            <w:tcW w:type="dxa" w:w="6123"/>
            <w:shd w:val="clear" w:color="auto" w:fill="1B2A49"/>
            <w:tcMar>
              <w:top w:w="70" w:type="dxa"/>
              <w:left w:w="90" w:type="dxa"/>
              <w:bottom w:w="70" w:type="dxa"/>
              <w:right w:w="90" w:type="dxa"/>
            </w:tcMar>
          </w:tcPr>
          <w:p>
            <w:pPr>
              <w:spacing w:after="0"/>
            </w:pPr>
            <w:r>
              <w:rPr>
                <w:rFonts w:ascii="Calibri" w:hAnsi="Calibri" w:eastAsia="Calibri"/>
                <w:b/>
                <w:color w:val="FFFFFF"/>
                <w:sz w:val="18"/>
              </w:rPr>
              <w:t>Recomendación</w:t>
            </w:r>
          </w:p>
        </w:tc>
        <w:tc>
          <w:tcPr>
            <w:tcW w:type="dxa" w:w="2721"/>
            <w:shd w:val="clear" w:color="auto" w:fill="1B2A49"/>
            <w:tcMar>
              <w:top w:w="70" w:type="dxa"/>
              <w:left w:w="90" w:type="dxa"/>
              <w:bottom w:w="70" w:type="dxa"/>
              <w:right w:w="90" w:type="dxa"/>
            </w:tcMar>
          </w:tcPr>
          <w:p>
            <w:pPr>
              <w:spacing w:after="0"/>
            </w:pPr>
            <w:r>
              <w:rPr>
                <w:rFonts w:ascii="Calibri" w:hAnsi="Calibri" w:eastAsia="Calibri"/>
                <w:b/>
                <w:color w:val="FFFFFF"/>
                <w:sz w:val="18"/>
              </w:rPr>
              <w:t>Hipótesis que la sustenta</w:t>
            </w:r>
          </w:p>
        </w:tc>
      </w:tr>
      <w:tr>
        <w:trPr>
          <w:cantSplit/>
        </w:trPr>
        <w:tc>
          <w:tcPr>
            <w:tcW w:type="dxa" w:w="567"/>
            <w:tcMar>
              <w:top w:w="60" w:type="dxa"/>
              <w:left w:w="90" w:type="dxa"/>
              <w:bottom w:w="60" w:type="dxa"/>
              <w:right w:w="90" w:type="dxa"/>
            </w:tcMar>
            <w:vAlign w:val="center"/>
          </w:tcPr>
          <w:p>
            <w:pPr>
              <w:spacing w:after="0"/>
              <w:jc w:val="center"/>
            </w:pPr>
            <w:r>
              <w:rPr>
                <w:rFonts w:ascii="Calibri" w:hAnsi="Calibri" w:eastAsia="Calibri"/>
                <w:sz w:val="18"/>
              </w:rPr>
              <w:t>R1</w:t>
            </w:r>
          </w:p>
        </w:tc>
        <w:tc>
          <w:tcPr>
            <w:tcW w:type="dxa" w:w="6123"/>
            <w:tcMar>
              <w:top w:w="60" w:type="dxa"/>
              <w:left w:w="90" w:type="dxa"/>
              <w:bottom w:w="60" w:type="dxa"/>
              <w:right w:w="90" w:type="dxa"/>
            </w:tcMar>
            <w:vAlign w:val="center"/>
          </w:tcPr>
          <w:p>
            <w:pPr>
              <w:spacing w:after="0"/>
            </w:pPr>
            <w:r>
              <w:rPr>
                <w:rFonts w:ascii="Calibri" w:hAnsi="Calibri" w:eastAsia="Calibri"/>
                <w:b/>
                <w:sz w:val="18"/>
              </w:rPr>
              <w:t>Rediseñar la medición para poder evaluar La Puerta:</w:t>
            </w:r>
            <w:r>
              <w:rPr>
                <w:rFonts w:ascii="Calibri" w:hAnsi="Calibri" w:eastAsia="Calibri"/>
                <w:sz w:val="18"/>
              </w:rPr>
              <w:t xml:space="preserve"> código único, momento y grupo obligatorios; incluir A03 y A04; considerar la evaluación de la jefatura en práctica. Realizar un piloto con grupo de comparación y pretest/postest.</w:t>
            </w:r>
          </w:p>
        </w:tc>
        <w:tc>
          <w:tcPr>
            <w:tcW w:type="dxa" w:w="2721"/>
            <w:tcMar>
              <w:top w:w="60" w:type="dxa"/>
              <w:left w:w="90" w:type="dxa"/>
              <w:bottom w:w="60" w:type="dxa"/>
              <w:right w:w="90" w:type="dxa"/>
            </w:tcMar>
            <w:vAlign w:val="center"/>
          </w:tcPr>
          <w:p>
            <w:pPr>
              <w:spacing w:after="0"/>
            </w:pPr>
            <w:r>
              <w:rPr>
                <w:rFonts w:ascii="Calibri" w:hAnsi="Calibri" w:eastAsia="Calibri"/>
                <w:sz w:val="18"/>
              </w:rPr>
              <w:t>H6 · limitaciones de H1</w:t>
            </w:r>
          </w:p>
        </w:tc>
      </w:tr>
      <w:tr>
        <w:trPr>
          <w:cantSplit/>
        </w:trPr>
        <w:tc>
          <w:tcPr>
            <w:tcW w:type="dxa" w:w="567"/>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R2</w:t>
            </w:r>
          </w:p>
        </w:tc>
        <w:tc>
          <w:tcPr>
            <w:tcW w:type="dxa" w:w="6123"/>
            <w:tcMar>
              <w:top w:w="60" w:type="dxa"/>
              <w:left w:w="90" w:type="dxa"/>
              <w:bottom w:w="60" w:type="dxa"/>
              <w:right w:w="90" w:type="dxa"/>
            </w:tcMar>
            <w:vAlign w:val="center"/>
            <w:shd w:val="clear" w:color="auto" w:fill="F7F9FC"/>
          </w:tcPr>
          <w:p>
            <w:pPr>
              <w:spacing w:after="0"/>
            </w:pPr>
            <w:r>
              <w:rPr>
                <w:rFonts w:ascii="Calibri" w:hAnsi="Calibri" w:eastAsia="Calibri"/>
                <w:b/>
                <w:sz w:val="18"/>
              </w:rPr>
              <w:t>Programa de redes:</w:t>
            </w:r>
            <w:r>
              <w:rPr>
                <w:rFonts w:ascii="Calibri" w:hAnsi="Calibri" w:eastAsia="Calibri"/>
                <w:sz w:val="18"/>
              </w:rPr>
              <w:t xml:space="preserve"> mentorías con egresados y practicantes, ferias y charlas con empresas, «café con profesionales».</w:t>
            </w:r>
          </w:p>
        </w:tc>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8"/>
              </w:rPr>
              <w:t>H3</w:t>
            </w:r>
          </w:p>
        </w:tc>
      </w:tr>
      <w:tr>
        <w:trPr>
          <w:cantSplit/>
        </w:trPr>
        <w:tc>
          <w:tcPr>
            <w:tcW w:type="dxa" w:w="567"/>
            <w:tcMar>
              <w:top w:w="60" w:type="dxa"/>
              <w:left w:w="90" w:type="dxa"/>
              <w:bottom w:w="60" w:type="dxa"/>
              <w:right w:w="90" w:type="dxa"/>
            </w:tcMar>
            <w:vAlign w:val="center"/>
          </w:tcPr>
          <w:p>
            <w:pPr>
              <w:spacing w:after="0"/>
              <w:jc w:val="center"/>
            </w:pPr>
            <w:r>
              <w:rPr>
                <w:rFonts w:ascii="Calibri" w:hAnsi="Calibri" w:eastAsia="Calibri"/>
                <w:sz w:val="18"/>
              </w:rPr>
              <w:t>R3</w:t>
            </w:r>
          </w:p>
        </w:tc>
        <w:tc>
          <w:tcPr>
            <w:tcW w:type="dxa" w:w="6123"/>
            <w:tcMar>
              <w:top w:w="60" w:type="dxa"/>
              <w:left w:w="90" w:type="dxa"/>
              <w:bottom w:w="60" w:type="dxa"/>
              <w:right w:w="90" w:type="dxa"/>
            </w:tcMar>
            <w:vAlign w:val="center"/>
          </w:tcPr>
          <w:p>
            <w:pPr>
              <w:spacing w:after="0"/>
            </w:pPr>
            <w:r>
              <w:rPr>
                <w:rFonts w:ascii="Calibri" w:hAnsi="Calibri" w:eastAsia="Calibri"/>
                <w:b/>
                <w:sz w:val="18"/>
              </w:rPr>
              <w:t>Microexperiencias de contacto real</w:t>
            </w:r>
            <w:r>
              <w:rPr>
                <w:rFonts w:ascii="Calibri" w:hAnsi="Calibri" w:eastAsia="Calibri"/>
                <w:sz w:val="18"/>
              </w:rPr>
              <w:t xml:space="preserve"> (visitas, proyectos cortos con empresas, shadowing de 1–2 jornadas) para todos los años; es la palanca que H4 sugiere y que H5 muestra que los estudiantes quieren.</w:t>
            </w:r>
          </w:p>
        </w:tc>
        <w:tc>
          <w:tcPr>
            <w:tcW w:type="dxa" w:w="2721"/>
            <w:tcMar>
              <w:top w:w="60" w:type="dxa"/>
              <w:left w:w="90" w:type="dxa"/>
              <w:bottom w:w="60" w:type="dxa"/>
              <w:right w:w="90" w:type="dxa"/>
            </w:tcMar>
            <w:vAlign w:val="center"/>
          </w:tcPr>
          <w:p>
            <w:pPr>
              <w:spacing w:after="0"/>
            </w:pPr>
            <w:r>
              <w:rPr>
                <w:rFonts w:ascii="Calibri" w:hAnsi="Calibri" w:eastAsia="Calibri"/>
                <w:sz w:val="18"/>
              </w:rPr>
              <w:t>H4 · H5</w:t>
            </w:r>
          </w:p>
        </w:tc>
      </w:tr>
      <w:tr>
        <w:trPr>
          <w:cantSplit/>
        </w:trPr>
        <w:tc>
          <w:tcPr>
            <w:tcW w:type="dxa" w:w="567"/>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R4</w:t>
            </w:r>
          </w:p>
        </w:tc>
        <w:tc>
          <w:tcPr>
            <w:tcW w:type="dxa" w:w="6123"/>
            <w:tcMar>
              <w:top w:w="60" w:type="dxa"/>
              <w:left w:w="90" w:type="dxa"/>
              <w:bottom w:w="60" w:type="dxa"/>
              <w:right w:w="90" w:type="dxa"/>
            </w:tcMar>
            <w:vAlign w:val="center"/>
            <w:shd w:val="clear" w:color="auto" w:fill="F7F9FC"/>
          </w:tcPr>
          <w:p>
            <w:pPr>
              <w:spacing w:after="0"/>
            </w:pPr>
            <w:r>
              <w:rPr>
                <w:rFonts w:ascii="Calibri" w:hAnsi="Calibri" w:eastAsia="Calibri"/>
                <w:b/>
                <w:sz w:val="18"/>
              </w:rPr>
              <w:t>Ajustar el criterio de focalización:</w:t>
            </w:r>
            <w:r>
              <w:rPr>
                <w:rFonts w:ascii="Calibri" w:hAnsi="Calibri" w:eastAsia="Calibri"/>
                <w:sz w:val="18"/>
              </w:rPr>
              <w:t xml:space="preserve"> en vez de «sin práctica previa», usar el semáforo (rojo &lt; 3,50) y la combinación de brechas (P01, P02, P09, P12).</w:t>
            </w:r>
          </w:p>
        </w:tc>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8"/>
              </w:rPr>
              <w:t>H1 (brecha pequeña); 21 % en rojo</w:t>
            </w:r>
          </w:p>
        </w:tc>
      </w:tr>
      <w:tr>
        <w:trPr>
          <w:cantSplit/>
        </w:trPr>
        <w:tc>
          <w:tcPr>
            <w:tcW w:type="dxa" w:w="567"/>
            <w:tcMar>
              <w:top w:w="60" w:type="dxa"/>
              <w:left w:w="90" w:type="dxa"/>
              <w:bottom w:w="60" w:type="dxa"/>
              <w:right w:w="90" w:type="dxa"/>
            </w:tcMar>
            <w:vAlign w:val="center"/>
          </w:tcPr>
          <w:p>
            <w:pPr>
              <w:spacing w:after="0"/>
              <w:jc w:val="center"/>
            </w:pPr>
            <w:r>
              <w:rPr>
                <w:rFonts w:ascii="Calibri" w:hAnsi="Calibri" w:eastAsia="Calibri"/>
                <w:sz w:val="18"/>
              </w:rPr>
              <w:t>R7</w:t>
            </w:r>
          </w:p>
        </w:tc>
        <w:tc>
          <w:tcPr>
            <w:tcW w:type="dxa" w:w="6123"/>
            <w:tcMar>
              <w:top w:w="60" w:type="dxa"/>
              <w:left w:w="90" w:type="dxa"/>
              <w:bottom w:w="60" w:type="dxa"/>
              <w:right w:w="90" w:type="dxa"/>
            </w:tcMar>
            <w:vAlign w:val="center"/>
          </w:tcPr>
          <w:p>
            <w:pPr>
              <w:spacing w:after="0"/>
            </w:pPr>
            <w:r>
              <w:rPr>
                <w:rFonts w:ascii="Calibri" w:hAnsi="Calibri" w:eastAsia="Calibri"/>
                <w:b/>
                <w:sz w:val="18"/>
              </w:rPr>
              <w:t>Atender el tramo 3.º–4.º semestre</w:t>
            </w:r>
            <w:r>
              <w:rPr>
                <w:rFonts w:ascii="Calibri" w:hAnsi="Calibri" w:eastAsia="Calibri"/>
                <w:sz w:val="18"/>
              </w:rPr>
              <w:t xml:space="preserve"> con actividades que reconecten con el mundo laboral.</w:t>
            </w:r>
          </w:p>
        </w:tc>
        <w:tc>
          <w:tcPr>
            <w:tcW w:type="dxa" w:w="2721"/>
            <w:tcMar>
              <w:top w:w="60" w:type="dxa"/>
              <w:left w:w="90" w:type="dxa"/>
              <w:bottom w:w="60" w:type="dxa"/>
              <w:right w:w="90" w:type="dxa"/>
            </w:tcMar>
            <w:vAlign w:val="center"/>
          </w:tcPr>
          <w:p>
            <w:pPr>
              <w:spacing w:after="0"/>
            </w:pPr>
            <w:r>
              <w:rPr>
                <w:rFonts w:ascii="Calibri" w:hAnsi="Calibri" w:eastAsia="Calibri"/>
                <w:sz w:val="18"/>
              </w:rPr>
              <w:t>H2 (valle)</w:t>
            </w:r>
          </w:p>
        </w:tc>
      </w:tr>
    </w:tbl>
    <w:p>
      <w:pPr>
        <w:spacing w:after="40"/>
      </w:pPr>
    </w:p>
    <w:p>
      <w:pPr>
        <w:pStyle w:val="Heading1"/>
        <w:pageBreakBefore/>
      </w:pPr>
      <w:r>
        <w:t>Anexos</w:t>
      </w:r>
    </w:p>
    <w:p>
      <w:pPr>
        <w:pStyle w:val="Heading2"/>
      </w:pPr>
      <w:r>
        <w:t>Anexo 1. Resultados completos de H1 por dimensión</w:t>
      </w:r>
    </w:p>
    <w:tbl>
      <w:tblPr>
        <w:tblW w:type="dxa" w:w="9639"/>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2721"/>
        <w:gridCol w:w="850"/>
        <w:gridCol w:w="850"/>
        <w:gridCol w:w="1077"/>
        <w:gridCol w:w="1587"/>
        <w:gridCol w:w="907"/>
        <w:gridCol w:w="850"/>
        <w:gridCol w:w="793"/>
      </w:tblGrid>
      <w:tr>
        <w:trPr>
          <w:tblHeader w:val="true"/>
        </w:trPr>
        <w:tc>
          <w:tcPr>
            <w:tcW w:type="dxa" w:w="2721"/>
            <w:shd w:val="clear" w:color="auto" w:fill="1B2A49"/>
            <w:tcMar>
              <w:top w:w="70" w:type="dxa"/>
              <w:left w:w="90" w:type="dxa"/>
              <w:bottom w:w="70" w:type="dxa"/>
              <w:right w:w="90" w:type="dxa"/>
            </w:tcMar>
          </w:tcPr>
          <w:p>
            <w:pPr>
              <w:spacing w:after="0"/>
            </w:pPr>
            <w:r>
              <w:rPr>
                <w:rFonts w:ascii="Calibri" w:hAnsi="Calibri" w:eastAsia="Calibri"/>
                <w:b/>
                <w:color w:val="FFFFFF"/>
                <w:sz w:val="17"/>
              </w:rPr>
              <w:t>Dimensión</w:t>
            </w:r>
          </w:p>
        </w:tc>
        <w:tc>
          <w:tcPr>
            <w:tcW w:type="dxa" w:w="850"/>
            <w:shd w:val="clear" w:color="auto" w:fill="1B2A49"/>
            <w:tcMar>
              <w:top w:w="70" w:type="dxa"/>
              <w:left w:w="90" w:type="dxa"/>
              <w:bottom w:w="70" w:type="dxa"/>
              <w:right w:w="90" w:type="dxa"/>
            </w:tcMar>
          </w:tcPr>
          <w:p>
            <w:pPr>
              <w:spacing w:after="0"/>
            </w:pPr>
            <w:r>
              <w:rPr>
                <w:rFonts w:ascii="Calibri" w:hAnsi="Calibri" w:eastAsia="Calibri"/>
                <w:b/>
                <w:color w:val="FFFFFF"/>
                <w:sz w:val="17"/>
              </w:rPr>
              <w:t>Con</w:t>
            </w:r>
          </w:p>
        </w:tc>
        <w:tc>
          <w:tcPr>
            <w:tcW w:type="dxa" w:w="850"/>
            <w:shd w:val="clear" w:color="auto" w:fill="1B2A49"/>
            <w:tcMar>
              <w:top w:w="70" w:type="dxa"/>
              <w:left w:w="90" w:type="dxa"/>
              <w:bottom w:w="70" w:type="dxa"/>
              <w:right w:w="90" w:type="dxa"/>
            </w:tcMar>
          </w:tcPr>
          <w:p>
            <w:pPr>
              <w:spacing w:after="0"/>
            </w:pPr>
            <w:r>
              <w:rPr>
                <w:rFonts w:ascii="Calibri" w:hAnsi="Calibri" w:eastAsia="Calibri"/>
                <w:b/>
                <w:color w:val="FFFFFF"/>
                <w:sz w:val="17"/>
              </w:rPr>
              <w:t>Sin</w:t>
            </w:r>
          </w:p>
        </w:tc>
        <w:tc>
          <w:tcPr>
            <w:tcW w:type="dxa" w:w="1077"/>
            <w:shd w:val="clear" w:color="auto" w:fill="1B2A49"/>
            <w:tcMar>
              <w:top w:w="70" w:type="dxa"/>
              <w:left w:w="90" w:type="dxa"/>
              <w:bottom w:w="70" w:type="dxa"/>
              <w:right w:w="90" w:type="dxa"/>
            </w:tcMar>
          </w:tcPr>
          <w:p>
            <w:pPr>
              <w:spacing w:after="0"/>
            </w:pPr>
            <w:r>
              <w:rPr>
                <w:rFonts w:ascii="Calibri" w:hAnsi="Calibri" w:eastAsia="Calibri"/>
                <w:b/>
                <w:color w:val="FFFFFF"/>
                <w:sz w:val="17"/>
              </w:rPr>
              <w:t>Diferencia</w:t>
            </w:r>
          </w:p>
        </w:tc>
        <w:tc>
          <w:tcPr>
            <w:tcW w:type="dxa" w:w="1587"/>
            <w:shd w:val="clear" w:color="auto" w:fill="1B2A49"/>
            <w:tcMar>
              <w:top w:w="70" w:type="dxa"/>
              <w:left w:w="90" w:type="dxa"/>
              <w:bottom w:w="70" w:type="dxa"/>
              <w:right w:w="90" w:type="dxa"/>
            </w:tcMar>
          </w:tcPr>
          <w:p>
            <w:pPr>
              <w:spacing w:after="0"/>
            </w:pPr>
            <w:r>
              <w:rPr>
                <w:rFonts w:ascii="Calibri" w:hAnsi="Calibri" w:eastAsia="Calibri"/>
                <w:b/>
                <w:color w:val="FFFFFF"/>
                <w:sz w:val="17"/>
              </w:rPr>
              <w:t>IC 95 %</w:t>
            </w:r>
          </w:p>
        </w:tc>
        <w:tc>
          <w:tcPr>
            <w:tcW w:type="dxa" w:w="907"/>
            <w:shd w:val="clear" w:color="auto" w:fill="1B2A49"/>
            <w:tcMar>
              <w:top w:w="70" w:type="dxa"/>
              <w:left w:w="90" w:type="dxa"/>
              <w:bottom w:w="70" w:type="dxa"/>
              <w:right w:w="90" w:type="dxa"/>
            </w:tcMar>
          </w:tcPr>
          <w:p>
            <w:pPr>
              <w:spacing w:after="0"/>
            </w:pPr>
            <w:r>
              <w:rPr>
                <w:rFonts w:ascii="Calibri" w:hAnsi="Calibri" w:eastAsia="Calibri"/>
                <w:b/>
                <w:color w:val="FFFFFF"/>
                <w:sz w:val="17"/>
              </w:rPr>
              <w:t>p (MW)</w:t>
            </w:r>
          </w:p>
        </w:tc>
        <w:tc>
          <w:tcPr>
            <w:tcW w:type="dxa" w:w="850"/>
            <w:shd w:val="clear" w:color="auto" w:fill="1B2A49"/>
            <w:tcMar>
              <w:top w:w="70" w:type="dxa"/>
              <w:left w:w="90" w:type="dxa"/>
              <w:bottom w:w="70" w:type="dxa"/>
              <w:right w:w="90" w:type="dxa"/>
            </w:tcMar>
          </w:tcPr>
          <w:p>
            <w:pPr>
              <w:spacing w:after="0"/>
            </w:pPr>
            <w:r>
              <w:rPr>
                <w:rFonts w:ascii="Calibri" w:hAnsi="Calibri" w:eastAsia="Calibri"/>
                <w:b/>
                <w:color w:val="FFFFFF"/>
                <w:sz w:val="17"/>
              </w:rPr>
              <w:t>p Holm</w:t>
            </w:r>
          </w:p>
        </w:tc>
        <w:tc>
          <w:tcPr>
            <w:tcW w:type="dxa" w:w="794"/>
            <w:shd w:val="clear" w:color="auto" w:fill="1B2A49"/>
            <w:tcMar>
              <w:top w:w="70" w:type="dxa"/>
              <w:left w:w="90" w:type="dxa"/>
              <w:bottom w:w="70" w:type="dxa"/>
              <w:right w:w="90" w:type="dxa"/>
            </w:tcMar>
          </w:tcPr>
          <w:p>
            <w:pPr>
              <w:spacing w:after="0"/>
            </w:pPr>
            <w:r>
              <w:rPr>
                <w:rFonts w:ascii="Calibri" w:hAnsi="Calibri" w:eastAsia="Calibri"/>
                <w:b/>
                <w:color w:val="FFFFFF"/>
                <w:sz w:val="17"/>
              </w:rPr>
              <w:t>Cliff δ</w:t>
            </w:r>
          </w:p>
        </w:tc>
      </w:tr>
      <w:tr>
        <w:trPr>
          <w:cantSplit/>
        </w:trPr>
        <w:tc>
          <w:tcPr>
            <w:tcW w:type="dxa" w:w="2721"/>
            <w:tcMar>
              <w:top w:w="60" w:type="dxa"/>
              <w:left w:w="90" w:type="dxa"/>
              <w:bottom w:w="60" w:type="dxa"/>
              <w:right w:w="90" w:type="dxa"/>
            </w:tcMar>
            <w:vAlign w:val="center"/>
          </w:tcPr>
          <w:p>
            <w:pPr>
              <w:spacing w:after="0"/>
            </w:pPr>
            <w:r>
              <w:rPr>
                <w:rFonts w:ascii="Calibri" w:hAnsi="Calibri" w:eastAsia="Calibri"/>
                <w:sz w:val="17"/>
              </w:rPr>
              <w:t>Global</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3,97</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3,80</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+0,17</w:t>
            </w:r>
          </w:p>
        </w:tc>
        <w:tc>
          <w:tcPr>
            <w:tcW w:type="dxa" w:w="1587"/>
            <w:tcMar>
              <w:top w:w="60" w:type="dxa"/>
              <w:left w:w="90" w:type="dxa"/>
              <w:bottom w:w="60" w:type="dxa"/>
              <w:right w:w="90" w:type="dxa"/>
            </w:tcMar>
            <w:vAlign w:val="center"/>
          </w:tcPr>
          <w:p>
            <w:pPr>
              <w:spacing w:after="0"/>
              <w:jc w:val="center"/>
            </w:pPr>
            <w:r>
              <w:rPr>
                <w:rFonts w:ascii="Calibri" w:hAnsi="Calibri" w:eastAsia="Calibri"/>
                <w:sz w:val="17"/>
              </w:rPr>
              <w:t>-0,02 a 0,35</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0,050</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0,25</w:t>
            </w:r>
          </w:p>
        </w:tc>
        <w:tc>
          <w:tcPr>
            <w:tcW w:type="dxa" w:w="794"/>
            <w:tcMar>
              <w:top w:w="60" w:type="dxa"/>
              <w:left w:w="90" w:type="dxa"/>
              <w:bottom w:w="60" w:type="dxa"/>
              <w:right w:w="90" w:type="dxa"/>
            </w:tcMar>
            <w:vAlign w:val="center"/>
          </w:tcPr>
          <w:p>
            <w:pPr>
              <w:spacing w:after="0"/>
              <w:jc w:val="center"/>
            </w:pPr>
            <w:r>
              <w:rPr>
                <w:rFonts w:ascii="Calibri" w:hAnsi="Calibri" w:eastAsia="Calibri"/>
                <w:sz w:val="17"/>
              </w:rPr>
              <w:t>0,17</w:t>
            </w:r>
          </w:p>
        </w:tc>
      </w:tr>
      <w:tr>
        <w:trPr>
          <w:cantSplit/>
        </w:trPr>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7"/>
              </w:rPr>
              <w:t>Conocer el rol profesional</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4,00</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3,67</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+0,33</w:t>
            </w:r>
          </w:p>
        </w:tc>
        <w:tc>
          <w:tcPr>
            <w:tcW w:type="dxa" w:w="158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0,07 a 0,61</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0,037</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0,22</w:t>
            </w:r>
          </w:p>
        </w:tc>
        <w:tc>
          <w:tcPr>
            <w:tcW w:type="dxa" w:w="79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0,18</w:t>
            </w:r>
          </w:p>
        </w:tc>
      </w:tr>
      <w:tr>
        <w:trPr>
          <w:cantSplit/>
        </w:trPr>
        <w:tc>
          <w:tcPr>
            <w:tcW w:type="dxa" w:w="2721"/>
            <w:tcMar>
              <w:top w:w="60" w:type="dxa"/>
              <w:left w:w="90" w:type="dxa"/>
              <w:bottom w:w="60" w:type="dxa"/>
              <w:right w:w="90" w:type="dxa"/>
            </w:tcMar>
            <w:vAlign w:val="center"/>
          </w:tcPr>
          <w:p>
            <w:pPr>
              <w:spacing w:after="0"/>
            </w:pPr>
            <w:r>
              <w:rPr>
                <w:rFonts w:ascii="Calibri" w:hAnsi="Calibri" w:eastAsia="Calibri"/>
                <w:sz w:val="17"/>
              </w:rPr>
              <w:t>Transferir lo aprendido</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3,96</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3,88</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+0,07</w:t>
            </w:r>
          </w:p>
        </w:tc>
        <w:tc>
          <w:tcPr>
            <w:tcW w:type="dxa" w:w="1587"/>
            <w:tcMar>
              <w:top w:w="60" w:type="dxa"/>
              <w:left w:w="90" w:type="dxa"/>
              <w:bottom w:w="60" w:type="dxa"/>
              <w:right w:w="90" w:type="dxa"/>
            </w:tcMar>
            <w:vAlign w:val="center"/>
          </w:tcPr>
          <w:p>
            <w:pPr>
              <w:spacing w:after="0"/>
              <w:jc w:val="center"/>
            </w:pPr>
            <w:r>
              <w:rPr>
                <w:rFonts w:ascii="Calibri" w:hAnsi="Calibri" w:eastAsia="Calibri"/>
                <w:sz w:val="17"/>
              </w:rPr>
              <w:t>-0,14 a 0,28</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0,410</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0,82</w:t>
            </w:r>
          </w:p>
        </w:tc>
        <w:tc>
          <w:tcPr>
            <w:tcW w:type="dxa" w:w="794"/>
            <w:tcMar>
              <w:top w:w="60" w:type="dxa"/>
              <w:left w:w="90" w:type="dxa"/>
              <w:bottom w:w="60" w:type="dxa"/>
              <w:right w:w="90" w:type="dxa"/>
            </w:tcMar>
            <w:vAlign w:val="center"/>
          </w:tcPr>
          <w:p>
            <w:pPr>
              <w:spacing w:after="0"/>
              <w:jc w:val="center"/>
            </w:pPr>
            <w:r>
              <w:rPr>
                <w:rFonts w:ascii="Calibri" w:hAnsi="Calibri" w:eastAsia="Calibri"/>
                <w:sz w:val="17"/>
              </w:rPr>
              <w:t>0,07</w:t>
            </w:r>
          </w:p>
        </w:tc>
      </w:tr>
      <w:tr>
        <w:trPr>
          <w:cantSplit/>
        </w:trPr>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7"/>
              </w:rPr>
              <w:t>Autoeficacia laboral</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4,04</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3,84</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+0,20</w:t>
            </w:r>
          </w:p>
        </w:tc>
        <w:tc>
          <w:tcPr>
            <w:tcW w:type="dxa" w:w="158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-0,02 a 0,42</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0,091</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0,36</w:t>
            </w:r>
          </w:p>
        </w:tc>
        <w:tc>
          <w:tcPr>
            <w:tcW w:type="dxa" w:w="79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0,15</w:t>
            </w:r>
          </w:p>
        </w:tc>
      </w:tr>
      <w:tr>
        <w:trPr>
          <w:cantSplit/>
        </w:trPr>
        <w:tc>
          <w:tcPr>
            <w:tcW w:type="dxa" w:w="2721"/>
            <w:tcMar>
              <w:top w:w="60" w:type="dxa"/>
              <w:left w:w="90" w:type="dxa"/>
              <w:bottom w:w="60" w:type="dxa"/>
              <w:right w:w="90" w:type="dxa"/>
            </w:tcMar>
            <w:vAlign w:val="center"/>
          </w:tcPr>
          <w:p>
            <w:pPr>
              <w:spacing w:after="0"/>
            </w:pPr>
            <w:r>
              <w:rPr>
                <w:rFonts w:ascii="Calibri" w:hAnsi="Calibri" w:eastAsia="Calibri"/>
                <w:sz w:val="17"/>
              </w:rPr>
              <w:t>Redes e interés por vincularse</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3,82</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3,65</w:t>
            </w:r>
          </w:p>
        </w:tc>
        <w:tc>
          <w:tcPr>
            <w:tcW w:type="dxa" w:w="1077"/>
            <w:tcMar>
              <w:top w:w="60" w:type="dxa"/>
              <w:left w:w="90" w:type="dxa"/>
              <w:bottom w:w="60" w:type="dxa"/>
              <w:right w:w="90" w:type="dxa"/>
            </w:tcMar>
            <w:vAlign w:val="center"/>
          </w:tcPr>
          <w:p>
            <w:pPr>
              <w:spacing w:after="0"/>
              <w:jc w:val="center"/>
            </w:pPr>
            <w:r>
              <w:rPr>
                <w:rFonts w:ascii="Calibri" w:hAnsi="Calibri" w:eastAsia="Calibri"/>
                <w:sz w:val="17"/>
              </w:rPr>
              <w:t>+0,17</w:t>
            </w:r>
          </w:p>
        </w:tc>
        <w:tc>
          <w:tcPr>
            <w:tcW w:type="dxa" w:w="1587"/>
            <w:tcMar>
              <w:top w:w="60" w:type="dxa"/>
              <w:left w:w="90" w:type="dxa"/>
              <w:bottom w:w="60" w:type="dxa"/>
              <w:right w:w="90" w:type="dxa"/>
            </w:tcMar>
            <w:vAlign w:val="center"/>
          </w:tcPr>
          <w:p>
            <w:pPr>
              <w:spacing w:after="0"/>
              <w:jc w:val="center"/>
            </w:pPr>
            <w:r>
              <w:rPr>
                <w:rFonts w:ascii="Calibri" w:hAnsi="Calibri" w:eastAsia="Calibri"/>
                <w:sz w:val="17"/>
              </w:rPr>
              <w:t>-0,05 a 0,40</w:t>
            </w:r>
          </w:p>
        </w:tc>
        <w:tc>
          <w:tcPr>
            <w:tcW w:type="dxa" w:w="907"/>
            <w:tcMar>
              <w:top w:w="60" w:type="dxa"/>
              <w:left w:w="90" w:type="dxa"/>
              <w:bottom w:w="60" w:type="dxa"/>
              <w:right w:w="90" w:type="dxa"/>
            </w:tcMar>
            <w:vAlign w:val="center"/>
          </w:tcPr>
          <w:p>
            <w:pPr>
              <w:spacing w:after="0"/>
              <w:jc w:val="center"/>
            </w:pPr>
            <w:r>
              <w:rPr>
                <w:rFonts w:ascii="Calibri" w:hAnsi="Calibri" w:eastAsia="Calibri"/>
                <w:sz w:val="17"/>
              </w:rPr>
              <w:t>0,173</w:t>
            </w:r>
          </w:p>
        </w:tc>
        <w:tc>
          <w:tcPr>
            <w:tcW w:type="dxa" w:w="850"/>
            <w:tcMar>
              <w:top w:w="60" w:type="dxa"/>
              <w:left w:w="90" w:type="dxa"/>
              <w:bottom w:w="60" w:type="dxa"/>
              <w:right w:w="90" w:type="dxa"/>
            </w:tcMar>
            <w:vAlign w:val="center"/>
          </w:tcPr>
          <w:p>
            <w:pPr>
              <w:spacing w:after="0"/>
              <w:jc w:val="center"/>
            </w:pPr>
            <w:r>
              <w:rPr>
                <w:rFonts w:ascii="Calibri" w:hAnsi="Calibri" w:eastAsia="Calibri"/>
                <w:sz w:val="17"/>
              </w:rPr>
              <w:t>0,52</w:t>
            </w:r>
          </w:p>
        </w:tc>
        <w:tc>
          <w:tcPr>
            <w:tcW w:type="dxa" w:w="794"/>
            <w:tcMar>
              <w:top w:w="60" w:type="dxa"/>
              <w:left w:w="90" w:type="dxa"/>
              <w:bottom w:w="60" w:type="dxa"/>
              <w:right w:w="90" w:type="dxa"/>
            </w:tcMar>
            <w:vAlign w:val="center"/>
          </w:tcPr>
          <w:p>
            <w:pPr>
              <w:spacing w:after="0"/>
              <w:jc w:val="center"/>
            </w:pPr>
            <w:r>
              <w:rPr>
                <w:rFonts w:ascii="Calibri" w:hAnsi="Calibri" w:eastAsia="Calibri"/>
                <w:sz w:val="17"/>
              </w:rPr>
              <w:t>0,12</w:t>
            </w:r>
          </w:p>
        </w:tc>
      </w:tr>
      <w:tr>
        <w:trPr>
          <w:cantSplit/>
        </w:trPr>
        <w:tc>
          <w:tcPr>
            <w:tcW w:type="dxa" w:w="2721"/>
            <w:tcMar>
              <w:top w:w="60" w:type="dxa"/>
              <w:left w:w="90" w:type="dxa"/>
              <w:bottom w:w="60" w:type="dxa"/>
              <w:right w:w="90" w:type="dxa"/>
            </w:tcMar>
            <w:vAlign w:val="center"/>
            <w:shd w:val="clear" w:color="auto" w:fill="F7F9FC"/>
          </w:tcPr>
          <w:p>
            <w:pPr>
              <w:spacing w:after="0"/>
            </w:pPr>
            <w:r>
              <w:rPr>
                <w:rFonts w:ascii="Calibri" w:hAnsi="Calibri" w:eastAsia="Calibri"/>
                <w:sz w:val="17"/>
              </w:rPr>
              <w:t>Aprender del error y ética</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4,07</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3,96</w:t>
            </w:r>
          </w:p>
        </w:tc>
        <w:tc>
          <w:tcPr>
            <w:tcW w:type="dxa" w:w="107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+0,11</w:t>
            </w:r>
          </w:p>
        </w:tc>
        <w:tc>
          <w:tcPr>
            <w:tcW w:type="dxa" w:w="158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-0,11 a 0,33</w:t>
            </w:r>
          </w:p>
        </w:tc>
        <w:tc>
          <w:tcPr>
            <w:tcW w:type="dxa" w:w="907"/>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0,485</w:t>
            </w:r>
          </w:p>
        </w:tc>
        <w:tc>
          <w:tcPr>
            <w:tcW w:type="dxa" w:w="850"/>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0,82</w:t>
            </w:r>
          </w:p>
        </w:tc>
        <w:tc>
          <w:tcPr>
            <w:tcW w:type="dxa" w:w="794"/>
            <w:tcMar>
              <w:top w:w="60" w:type="dxa"/>
              <w:left w:w="90" w:type="dxa"/>
              <w:bottom w:w="60" w:type="dxa"/>
              <w:right w:w="90" w:type="dxa"/>
            </w:tcMar>
            <w:vAlign w:val="center"/>
            <w:shd w:val="clear" w:color="auto" w:fill="F7F9FC"/>
          </w:tcPr>
          <w:p>
            <w:pPr>
              <w:spacing w:after="0"/>
              <w:jc w:val="center"/>
            </w:pPr>
            <w:r>
              <w:rPr>
                <w:rFonts w:ascii="Calibri" w:hAnsi="Calibri" w:eastAsia="Calibri"/>
                <w:sz w:val="17"/>
              </w:rPr>
              <w:t>0,06</w:t>
            </w:r>
          </w:p>
        </w:tc>
      </w:tr>
    </w:tbl>
    <w:p>
      <w:pPr>
        <w:spacing w:after="40"/>
      </w:pPr>
    </w:p>
    <w:p>
      <w:r>
        <w:rPr>
          <w:rFonts w:ascii="Calibri" w:hAnsi="Calibri" w:eastAsia="Calibri"/>
          <w:color w:val="8892A6"/>
          <w:sz w:val="18"/>
        </w:rPr>
        <w:t>IC = intervalo de confianza (bootstrap). MW = U de Mann-Whitney. Cliff δ = diferencia de dominancia (de −1 a +1; 0 = sin diferencia; Cliff, 1993). Holm corrige por las seis comparaciones.</w:t>
      </w:r>
    </w:p>
    <w:p>
      <w:pPr>
        <w:pStyle w:val="Heading2"/>
      </w:pPr>
      <w:r>
        <w:t>Anexo 2. Verificación de robustez (puntaje global, con vs. sin práctica)</w:t>
      </w:r>
    </w:p>
    <w:tbl>
      <w:tblPr>
        <w:tblW w:type="dxa" w:w="9412"/>
        <w:tblLayout w:type="fixed"/>
        <w:tblLook w:firstColumn="1" w:firstRow="1" w:lastColumn="0" w:lastRow="0" w:noHBand="0" w:noVBand="1" w:val="04A0"/>
        <w:jc w:val="center"/>
        <w:tblBorders>
          <w:top w:val="single" w:sz="4" w:color="D5DAE3"/>
          <w:left w:val="single" w:sz="4" w:color="D5DAE3"/>
          <w:bottom w:val="single" w:sz="4" w:color="D5DAE3"/>
          <w:right w:val="single" w:sz="4" w:color="D5DAE3"/>
          <w:insideH w:val="single" w:sz="4" w:color="D5DAE3"/>
          <w:insideV w:val="single" w:sz="4" w:color="D5DAE3"/>
        </w:tblBorders>
        <w:tblLayout w:type="fixed"/>
      </w:tblPr>
      <w:tblGrid>
        <w:gridCol w:w="4536"/>
        <w:gridCol w:w="1134"/>
        <w:gridCol w:w="1814"/>
        <w:gridCol w:w="1927"/>
      </w:tblGrid>
      <w:tr>
        <w:trPr>
          <w:tblHeader w:val="true"/>
        </w:trPr>
        <w:tc>
          <w:tcPr>
            <w:tcW w:type="dxa" w:w="4535"/>
            <w:shd w:val="clear" w:color="auto" w:fill="1B2A49"/>
            <w:tcMar>
              <w:top w:w="70" w:type="dxa"/>
              <w:left w:w="90" w:type="dxa"/>
              <w:bottom w:w="70" w:type="dxa"/>
              <w:right w:w="90" w:type="dxa"/>
            </w:tcMar>
          </w:tcPr>
          <w:p>
            <w:pPr>
              <w:spacing w:after="0"/>
            </w:pPr>
            <w:r>
              <w:rPr>
                <w:rFonts w:ascii="Calibri" w:hAnsi="Calibri" w:eastAsia="Calibri"/>
                <w:b/>
                <w:color w:val="FFFFFF"/>
                <w:sz w:val="18"/>
              </w:rPr>
              <w:t>Subconjunto</w:t>
            </w:r>
          </w:p>
        </w:tc>
        <w:tc>
          <w:tcPr>
            <w:tcW w:type="dxa" w:w="1134"/>
            <w:shd w:val="clear" w:color="auto" w:fill="1B2A49"/>
            <w:tcMar>
              <w:top w:w="70" w:type="dxa"/>
              <w:left w:w="90" w:type="dxa"/>
              <w:bottom w:w="70" w:type="dxa"/>
              <w:right w:w="90" w:type="dxa"/>
            </w:tcMar>
          </w:tcPr>
          <w:p>
            <w:pPr>
              <w:spacing w:after="0"/>
            </w:pPr>
            <w:r>
              <w:rPr>
                <w:rFonts w:ascii="Calibri" w:hAnsi="Calibri" w:eastAsia="Calibri"/>
                <w:b/>
                <w:color w:val="FFFFFF"/>
                <w:sz w:val="18"/>
              </w:rPr>
              <w:t>n</w:t>
            </w:r>
          </w:p>
        </w:tc>
        <w:tc>
          <w:tcPr>
            <w:tcW w:type="dxa" w:w="1814"/>
            <w:shd w:val="clear" w:color="auto" w:fill="1B2A49"/>
            <w:tcMar>
              <w:top w:w="70" w:type="dxa"/>
              <w:left w:w="90" w:type="dxa"/>
              <w:bottom w:w="70" w:type="dxa"/>
              <w:right w:w="90" w:type="dxa"/>
            </w:tcMar>
          </w:tcPr>
          <w:p>
            <w:pPr>
              <w:spacing w:after="0"/>
            </w:pPr>
            <w:r>
              <w:rPr>
                <w:rFonts w:ascii="Calibri" w:hAnsi="Calibri" w:eastAsia="Calibri"/>
                <w:b/>
                <w:color w:val="FFFFFF"/>
                <w:sz w:val="18"/>
              </w:rPr>
              <w:t>Diferencia</w:t>
            </w:r>
          </w:p>
        </w:tc>
        <w:tc>
          <w:tcPr>
            <w:tcW w:type="dxa" w:w="1928"/>
            <w:shd w:val="clear" w:color="auto" w:fill="1B2A49"/>
            <w:tcMar>
              <w:top w:w="70" w:type="dxa"/>
              <w:left w:w="90" w:type="dxa"/>
              <w:bottom w:w="70" w:type="dxa"/>
              <w:right w:w="90" w:type="dxa"/>
            </w:tcMar>
          </w:tcPr>
          <w:p>
            <w:pPr>
              <w:spacing w:after="0"/>
            </w:pPr>
            <w:r>
              <w:rPr>
                <w:rFonts w:ascii="Calibri" w:hAnsi="Calibri" w:eastAsia="Calibri"/>
                <w:b/>
                <w:color w:val="FFFFFF"/>
                <w:sz w:val="18"/>
              </w:rPr>
              <w:t>p (MW)</w:t>
            </w:r>
          </w:p>
        </w:tc>
      </w:tr>
      <w:tr>
        <w:trPr>
          <w:cantSplit/>
        </w:trPr>
        <w:tc>
          <w:tcPr>
            <w:tcW w:type="dxa" w:w="4535"/>
            <w:tcMar>
              <w:top w:w="60" w:type="dxa"/>
              <w:left w:w="90" w:type="dxa"/>
              <w:bottom w:w="60" w:type="dxa"/>
              <w:right w:w="90" w:type="dxa"/>
            </w:tcMar>
            <w:vAlign w:val="center"/>
          </w:tcPr>
          <w:p>
            <w:pPr>
              <w:spacing w:after="0"/>
            </w:pPr>
            <w:r>
              <w:rPr>
                <w:rFonts w:ascii="Calibri" w:hAnsi="Calibri" w:eastAsia="Calibri"/>
                <w:sz w:val="18"/>
              </w:rPr>
              <w:t>Base completa</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8"/>
              </w:rPr>
              <w:t>184</w:t>
            </w:r>
          </w:p>
        </w:tc>
        <w:tc>
          <w:tcPr>
            <w:tcW w:type="dxa" w:w="1814"/>
            <w:tcMar>
              <w:top w:w="60" w:type="dxa"/>
              <w:left w:w="90" w:type="dxa"/>
              <w:bottom w:w="60" w:type="dxa"/>
              <w:right w:w="90" w:type="dxa"/>
            </w:tcMar>
            <w:vAlign w:val="center"/>
          </w:tcPr>
          <w:p>
            <w:pPr>
              <w:spacing w:after="0"/>
              <w:jc w:val="center"/>
            </w:pPr>
            <w:r>
              <w:rPr>
                <w:rFonts w:ascii="Calibri" w:hAnsi="Calibri" w:eastAsia="Calibri"/>
                <w:sz w:val="18"/>
              </w:rPr>
              <w:t>+0,17</w:t>
            </w:r>
          </w:p>
        </w:tc>
        <w:tc>
          <w:tcPr>
            <w:tcW w:type="dxa" w:w="1928"/>
            <w:tcMar>
              <w:top w:w="60" w:type="dxa"/>
              <w:left w:w="90" w:type="dxa"/>
              <w:bottom w:w="60" w:type="dxa"/>
              <w:right w:w="90" w:type="dxa"/>
            </w:tcMar>
            <w:vAlign w:val="center"/>
          </w:tcPr>
          <w:p>
            <w:pPr>
              <w:spacing w:after="0"/>
              <w:jc w:val="center"/>
            </w:pPr>
            <w:r>
              <w:rPr>
                <w:rFonts w:ascii="Calibri" w:hAnsi="Calibri" w:eastAsia="Calibri"/>
                <w:sz w:val="18"/>
              </w:rPr>
              <w:t>0,050</w:t>
            </w:r>
          </w:p>
        </w:tc>
      </w:tr>
      <w:tr>
        <w:trPr>
          <w:cantSplit/>
        </w:trPr>
        <w:tc>
          <w:tcPr>
            <w:tcW w:type="dxa" w:w="4535"/>
            <w:tcMar>
              <w:top w:w="60" w:type="dxa"/>
              <w:left w:w="90" w:type="dxa"/>
              <w:bottom w:w="60" w:type="dxa"/>
              <w:right w:w="90" w:type="dxa"/>
            </w:tcMar>
            <w:vAlign w:val="center"/>
            <w:shd w:val="clear" w:color="auto" w:fill="F7F9FC"/>
          </w:tcPr>
          <w:p>
            <w:pPr>
              <w:spacing w:after="0"/>
            </w:pPr>
            <w:r>
              <w:rPr>
                <w:rFonts w:ascii="Calibri" w:hAnsi="Calibri" w:eastAsia="Calibri"/>
                <w:sz w:val="18"/>
              </w:rPr>
              <w:t>Sin las 12 respuestas idénticas en todo</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172</w:t>
            </w:r>
          </w:p>
        </w:tc>
        <w:tc>
          <w:tcPr>
            <w:tcW w:type="dxa" w:w="1814"/>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+0,21</w:t>
            </w:r>
          </w:p>
        </w:tc>
        <w:tc>
          <w:tcPr>
            <w:tcW w:type="dxa" w:w="1928"/>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0,011</w:t>
            </w:r>
          </w:p>
        </w:tc>
      </w:tr>
      <w:tr>
        <w:trPr>
          <w:cantSplit/>
        </w:trPr>
        <w:tc>
          <w:tcPr>
            <w:tcW w:type="dxa" w:w="4535"/>
            <w:tcMar>
              <w:top w:w="60" w:type="dxa"/>
              <w:left w:w="90" w:type="dxa"/>
              <w:bottom w:w="60" w:type="dxa"/>
              <w:right w:w="90" w:type="dxa"/>
            </w:tcMar>
            <w:vAlign w:val="center"/>
          </w:tcPr>
          <w:p>
            <w:pPr>
              <w:spacing w:after="0"/>
            </w:pPr>
            <w:r>
              <w:rPr>
                <w:rFonts w:ascii="Calibri" w:hAnsi="Calibri" w:eastAsia="Calibri"/>
                <w:sz w:val="18"/>
              </w:rPr>
              <w:t>Solo Administración y Negocios</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8"/>
              </w:rPr>
              <w:t>181</w:t>
            </w:r>
          </w:p>
        </w:tc>
        <w:tc>
          <w:tcPr>
            <w:tcW w:type="dxa" w:w="1814"/>
            <w:tcMar>
              <w:top w:w="60" w:type="dxa"/>
              <w:left w:w="90" w:type="dxa"/>
              <w:bottom w:w="60" w:type="dxa"/>
              <w:right w:w="90" w:type="dxa"/>
            </w:tcMar>
            <w:vAlign w:val="center"/>
          </w:tcPr>
          <w:p>
            <w:pPr>
              <w:spacing w:after="0"/>
              <w:jc w:val="center"/>
            </w:pPr>
            <w:r>
              <w:rPr>
                <w:rFonts w:ascii="Calibri" w:hAnsi="Calibri" w:eastAsia="Calibri"/>
                <w:sz w:val="18"/>
              </w:rPr>
              <w:t>+0,18</w:t>
            </w:r>
          </w:p>
        </w:tc>
        <w:tc>
          <w:tcPr>
            <w:tcW w:type="dxa" w:w="1928"/>
            <w:tcMar>
              <w:top w:w="60" w:type="dxa"/>
              <w:left w:w="90" w:type="dxa"/>
              <w:bottom w:w="60" w:type="dxa"/>
              <w:right w:w="90" w:type="dxa"/>
            </w:tcMar>
            <w:vAlign w:val="center"/>
          </w:tcPr>
          <w:p>
            <w:pPr>
              <w:spacing w:after="0"/>
              <w:jc w:val="center"/>
            </w:pPr>
            <w:r>
              <w:rPr>
                <w:rFonts w:ascii="Calibri" w:hAnsi="Calibri" w:eastAsia="Calibri"/>
                <w:sz w:val="18"/>
              </w:rPr>
              <w:t>0,039</w:t>
            </w:r>
          </w:p>
        </w:tc>
      </w:tr>
      <w:tr>
        <w:trPr>
          <w:cantSplit/>
        </w:trPr>
        <w:tc>
          <w:tcPr>
            <w:tcW w:type="dxa" w:w="4535"/>
            <w:tcMar>
              <w:top w:w="60" w:type="dxa"/>
              <w:left w:w="90" w:type="dxa"/>
              <w:bottom w:w="60" w:type="dxa"/>
              <w:right w:w="90" w:type="dxa"/>
            </w:tcMar>
            <w:vAlign w:val="center"/>
            <w:shd w:val="clear" w:color="auto" w:fill="F7F9FC"/>
          </w:tcPr>
          <w:p>
            <w:pPr>
              <w:spacing w:after="0"/>
            </w:pPr>
            <w:r>
              <w:rPr>
                <w:rFonts w:ascii="Calibri" w:hAnsi="Calibri" w:eastAsia="Calibri"/>
                <w:sz w:val="18"/>
              </w:rPr>
              <w:t>Solo 1.º–2.º semestre</w:t>
            </w:r>
          </w:p>
        </w:tc>
        <w:tc>
          <w:tcPr>
            <w:tcW w:type="dxa" w:w="1134"/>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90</w:t>
            </w:r>
          </w:p>
        </w:tc>
        <w:tc>
          <w:tcPr>
            <w:tcW w:type="dxa" w:w="1814"/>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+0,07</w:t>
            </w:r>
          </w:p>
        </w:tc>
        <w:tc>
          <w:tcPr>
            <w:tcW w:type="dxa" w:w="1928"/>
            <w:tcMar>
              <w:top w:w="60" w:type="dxa"/>
              <w:left w:w="90" w:type="dxa"/>
              <w:bottom w:w="60" w:type="dxa"/>
              <w:right w:w="90" w:type="dxa"/>
            </w:tcMar>
            <w:vAlign w:val="center"/>
            <w:shd w:val="clear" w:color="auto" w:fill="F7F9FC"/>
          </w:tcPr>
          <w:p>
            <w:pPr>
              <w:spacing w:after="0"/>
              <w:jc w:val="center"/>
            </w:pPr>
            <w:r>
              <w:rPr>
                <w:rFonts w:ascii="Calibri" w:hAnsi="Calibri" w:eastAsia="Calibri"/>
                <w:sz w:val="18"/>
              </w:rPr>
              <w:t>0,540</w:t>
            </w:r>
          </w:p>
        </w:tc>
      </w:tr>
      <w:tr>
        <w:trPr>
          <w:cantSplit/>
        </w:trPr>
        <w:tc>
          <w:tcPr>
            <w:tcW w:type="dxa" w:w="4535"/>
            <w:tcMar>
              <w:top w:w="60" w:type="dxa"/>
              <w:left w:w="90" w:type="dxa"/>
              <w:bottom w:w="60" w:type="dxa"/>
              <w:right w:w="90" w:type="dxa"/>
            </w:tcMar>
            <w:vAlign w:val="center"/>
          </w:tcPr>
          <w:p>
            <w:pPr>
              <w:spacing w:after="0"/>
            </w:pPr>
            <w:r>
              <w:rPr>
                <w:rFonts w:ascii="Calibri" w:hAnsi="Calibri" w:eastAsia="Calibri"/>
                <w:sz w:val="18"/>
              </w:rPr>
              <w:t>Con ≥ 12 ítems respondidos</w:t>
            </w:r>
          </w:p>
        </w:tc>
        <w:tc>
          <w:tcPr>
            <w:tcW w:type="dxa" w:w="1134"/>
            <w:tcMar>
              <w:top w:w="60" w:type="dxa"/>
              <w:left w:w="90" w:type="dxa"/>
              <w:bottom w:w="60" w:type="dxa"/>
              <w:right w:w="90" w:type="dxa"/>
            </w:tcMar>
            <w:vAlign w:val="center"/>
          </w:tcPr>
          <w:p>
            <w:pPr>
              <w:spacing w:after="0"/>
              <w:jc w:val="center"/>
            </w:pPr>
            <w:r>
              <w:rPr>
                <w:rFonts w:ascii="Calibri" w:hAnsi="Calibri" w:eastAsia="Calibri"/>
                <w:sz w:val="18"/>
              </w:rPr>
              <w:t>180</w:t>
            </w:r>
          </w:p>
        </w:tc>
        <w:tc>
          <w:tcPr>
            <w:tcW w:type="dxa" w:w="1814"/>
            <w:tcMar>
              <w:top w:w="60" w:type="dxa"/>
              <w:left w:w="90" w:type="dxa"/>
              <w:bottom w:w="60" w:type="dxa"/>
              <w:right w:w="90" w:type="dxa"/>
            </w:tcMar>
            <w:vAlign w:val="center"/>
          </w:tcPr>
          <w:p>
            <w:pPr>
              <w:spacing w:after="0"/>
              <w:jc w:val="center"/>
            </w:pPr>
            <w:r>
              <w:rPr>
                <w:rFonts w:ascii="Calibri" w:hAnsi="Calibri" w:eastAsia="Calibri"/>
                <w:sz w:val="18"/>
              </w:rPr>
              <w:t>+0,18</w:t>
            </w:r>
          </w:p>
        </w:tc>
        <w:tc>
          <w:tcPr>
            <w:tcW w:type="dxa" w:w="1928"/>
            <w:tcMar>
              <w:top w:w="60" w:type="dxa"/>
              <w:left w:w="90" w:type="dxa"/>
              <w:bottom w:w="60" w:type="dxa"/>
              <w:right w:w="90" w:type="dxa"/>
            </w:tcMar>
            <w:vAlign w:val="center"/>
          </w:tcPr>
          <w:p>
            <w:pPr>
              <w:spacing w:after="0"/>
              <w:jc w:val="center"/>
            </w:pPr>
            <w:r>
              <w:rPr>
                <w:rFonts w:ascii="Calibri" w:hAnsi="Calibri" w:eastAsia="Calibri"/>
                <w:sz w:val="18"/>
              </w:rPr>
              <w:t>0,043</w:t>
            </w:r>
          </w:p>
        </w:tc>
      </w:tr>
    </w:tbl>
    <w:p>
      <w:pPr>
        <w:spacing w:after="40"/>
      </w:pPr>
    </w:p>
    <w:p>
      <w:r>
        <w:rPr>
          <w:rFonts w:ascii="Calibri" w:hAnsi="Calibri" w:eastAsia="Calibri"/>
          <w:sz w:val="19"/>
        </w:rPr>
        <w:t>Sin las 12 respuestas «idénticas en todo», la diferencia sube a +0,21 (p = 0,011 sin corregir) y sigue lejos de 0,8. Dentro de primer año baja a +0,07. Ninguna variante se acerca a la brecha proyectada.</w:t>
      </w:r>
    </w:p>
    <w:p>
      <w:pPr>
        <w:pStyle w:val="Heading2"/>
      </w:pPr>
      <w:r>
        <w:t>Anexo 3. Código y reproducibilidad</w:t>
      </w:r>
    </w:p>
    <w:p>
      <w:r>
        <w:rPr>
          <w:rFonts w:ascii="Calibri" w:hAnsi="Calibri" w:eastAsia="Calibri"/>
        </w:rPr>
        <w:t>Todo el análisis puede reproducirse con `src/analisis.py` (Python: pandas, SciPy, statsmodels) y `src/graficos.py`. La semilla aleatoria es fija (2026). La base original no se incluye en el repositorio por contener correos.</w:t>
      </w:r>
    </w:p>
    <w:p>
      <w:pPr>
        <w:pStyle w:val="Heading2"/>
      </w:pPr>
      <w:r>
        <w:t>Declaración sobre el uso de Inteligencia Artificial</w:t>
      </w:r>
    </w:p>
    <w:tbl>
      <w:tblPr>
        <w:tblW w:type="dxa" w:w="9412"/>
        <w:tblLayout w:type="fixed"/>
        <w:tblLook w:firstColumn="1" w:firstRow="1" w:lastColumn="0" w:lastRow="0" w:noHBand="0" w:noVBand="1" w:val="04A0"/>
        <w:tblBorders>
          <w:top w:val="nil"/>
          <w:left w:val="nil"/>
          <w:bottom w:val="nil"/>
          <w:right w:val="nil"/>
          <w:insideH w:val="nil"/>
          <w:insideV w:val="nil"/>
        </w:tblBorders>
        <w:tblLayout w:type="fixed"/>
      </w:tblPr>
      <w:tblGrid>
        <w:gridCol w:w="198"/>
        <w:gridCol w:w="9213"/>
      </w:tblGrid>
      <w:tr>
        <w:trPr>
          <w:cantSplit/>
        </w:trPr>
        <w:tc>
          <w:tcPr>
            <w:tcW w:type="dxa" w:w="198"/>
            <w:shd w:val="clear" w:color="auto" w:fill="F2A900"/>
            <w:tcMar>
              <w:top w:w="0" w:type="dxa"/>
              <w:left w:w="0" w:type="dxa"/>
              <w:bottom w:w="0" w:type="dxa"/>
              <w:right w:w="0" w:type="dxa"/>
            </w:tcMar>
          </w:tcPr>
          <w:p/>
        </w:tc>
        <w:tc>
          <w:tcPr>
            <w:tcW w:type="dxa" w:w="9213"/>
            <w:shd w:val="clear" w:color="auto" w:fill="FFF7E0"/>
            <w:tcMar>
              <w:top w:w="120" w:type="dxa"/>
              <w:left w:w="200" w:type="dxa"/>
              <w:bottom w:w="120" w:type="dxa"/>
              <w:right w:w="160" w:type="dxa"/>
            </w:tcMar>
          </w:tcPr>
          <w:p>
            <w:pPr>
              <w:spacing w:after="40"/>
            </w:pPr>
            <w:r>
              <w:rPr>
                <w:rFonts w:ascii="Calibri" w:hAnsi="Calibri" w:eastAsia="Calibri"/>
                <w:b/>
                <w:color w:val="F2A900"/>
                <w:sz w:val="21"/>
              </w:rPr>
              <w:t>Este informe se elaboró con apoyo de Inteligencia Artificial</w:t>
            </w:r>
          </w:p>
          <w:p>
            <w:pPr>
              <w:spacing w:after="40"/>
            </w:pPr>
            <w:r>
              <w:rPr>
                <w:rFonts w:ascii="Calibri" w:hAnsi="Calibri" w:eastAsia="Calibri"/>
                <w:sz w:val="20"/>
              </w:rPr>
              <w:t xml:space="preserve">Se utilizó </w:t>
            </w:r>
            <w:r>
              <w:rPr>
                <w:rFonts w:ascii="Calibri" w:hAnsi="Calibri" w:eastAsia="Calibri"/>
                <w:b/>
                <w:sz w:val="20"/>
              </w:rPr>
              <w:t>Claude (Anthropic), modelo de IA generativa</w:t>
            </w:r>
            <w:r>
              <w:rPr>
                <w:rFonts w:ascii="Calibri" w:hAnsi="Calibri" w:eastAsia="Calibri"/>
                <w:sz w:val="20"/>
              </w:rPr>
              <w:t>, como herramienta de apoyo para: (1) limpiar y calcular los resultados de la base de datos con código reproducible; (2) proponer el marco de contraste, calcular las pruebas estadísticas y redactar la interpretación de las hipótesis; (3) redactar, organizar y diseñar los gráficos y diagramas; y (4) clasificar preliminarmente las respuestas abiertas por temas.</w:t>
            </w:r>
          </w:p>
          <w:p>
            <w:pPr>
              <w:spacing w:after="40"/>
            </w:pPr>
            <w:r>
              <w:rPr>
                <w:rFonts w:ascii="Calibri" w:hAnsi="Calibri" w:eastAsia="Calibri"/>
                <w:b/>
                <w:sz w:val="20"/>
              </w:rPr>
              <w:t>La IA no reemplaza el juicio experto.</w:t>
            </w:r>
            <w:r>
              <w:rPr>
                <w:rFonts w:ascii="Calibri" w:hAnsi="Calibri" w:eastAsia="Calibri"/>
                <w:sz w:val="20"/>
              </w:rPr>
              <w:t xml:space="preserve"> La codificación temática automática es preliminar y debe ser validada por una persona (idealmente con doble codificación). Las interpretaciones, decisiones y recomendaciones deben ser revisadas y asumidas por el equipo responsable del Proyecto La Puerta antes de su difusión institucional.</w:t>
            </w:r>
          </w:p>
          <w:p>
            <w:pPr>
              <w:spacing w:after="40"/>
            </w:pPr>
            <w:r>
              <w:rPr>
                <w:rFonts w:ascii="Calibri" w:hAnsi="Calibri" w:eastAsia="Calibri"/>
                <w:sz w:val="20"/>
              </w:rPr>
              <w:t>No se incluyeron nombres, correos ni códigos de estudiantes. Las citas textuales son anónimas.</w:t>
            </w:r>
          </w:p>
        </w:tc>
      </w:tr>
    </w:tbl>
    <w:p>
      <w:pPr>
        <w:spacing w:after="40"/>
      </w:pPr>
    </w:p>
    <w:p>
      <w:pPr>
        <w:pStyle w:val="Heading1"/>
        <w:pageBreakBefore/>
      </w:pPr>
      <w:r>
        <w:t>Bibliografía y referencias</w:t>
      </w:r>
    </w:p>
    <w:p>
      <w:r>
        <w:rPr>
          <w:rFonts w:ascii="Calibri" w:hAnsi="Calibri" w:eastAsia="Calibri"/>
          <w:color w:val="8892A6"/>
          <w:sz w:val="19"/>
        </w:rPr>
        <w:t xml:space="preserve">Las fuentes se ordenan alfabéticamente (formato APA 7). Las dos últimas son documentos internos del proyecto. Las referencias académicas fueron seleccionadas por la herramienta de IA a partir de su conocimiento de la literatura y </w:t>
      </w:r>
      <w:r>
        <w:rPr>
          <w:rFonts w:ascii="Calibri" w:hAnsi="Calibri" w:eastAsia="Calibri"/>
          <w:b/>
          <w:color w:val="8892A6"/>
          <w:sz w:val="19"/>
        </w:rPr>
        <w:t>no se verificaron en línea durante esta sesión</w:t>
      </w:r>
      <w:r>
        <w:rPr>
          <w:rFonts w:ascii="Calibri" w:hAnsi="Calibri" w:eastAsia="Calibri"/>
          <w:color w:val="8892A6"/>
          <w:sz w:val="19"/>
        </w:rPr>
        <w:t>: conviene confirmar volumen, páginas y DOI antes de una publicación formal.</w:t>
      </w:r>
    </w:p>
    <w:p>
      <w:pPr>
        <w:spacing w:after="80"/>
        <w:ind w:left="567" w:hanging="567"/>
      </w:pPr>
      <w:r>
        <w:rPr>
          <w:rFonts w:ascii="Calibri" w:hAnsi="Calibri"/>
          <w:i w:val="0"/>
          <w:sz w:val="19"/>
        </w:rPr>
        <w:t xml:space="preserve">Bandura, A. (1997). </w:t>
      </w:r>
      <w:r>
        <w:rPr>
          <w:rFonts w:ascii="Calibri" w:hAnsi="Calibri"/>
          <w:i/>
          <w:sz w:val="19"/>
        </w:rPr>
        <w:t>Self-efficacy: The exercise of control</w:t>
      </w:r>
      <w:r>
        <w:rPr>
          <w:rFonts w:ascii="Calibri" w:hAnsi="Calibri"/>
          <w:i w:val="0"/>
          <w:sz w:val="19"/>
        </w:rPr>
        <w:t>. W. H. Freeman.</w:t>
      </w:r>
    </w:p>
    <w:p>
      <w:pPr>
        <w:spacing w:after="80"/>
        <w:ind w:left="567" w:hanging="567"/>
      </w:pPr>
      <w:r>
        <w:rPr>
          <w:rFonts w:ascii="Calibri" w:hAnsi="Calibri"/>
          <w:i w:val="0"/>
          <w:sz w:val="19"/>
        </w:rPr>
        <w:t xml:space="preserve">Cliff, N. (1993). Dominance statistics: Ordinal analyses to answer ordinal questions. </w:t>
      </w:r>
      <w:r>
        <w:rPr>
          <w:rFonts w:ascii="Calibri" w:hAnsi="Calibri"/>
          <w:i/>
          <w:sz w:val="19"/>
        </w:rPr>
        <w:t>Psychological Bulletin, 114</w:t>
      </w:r>
      <w:r>
        <w:rPr>
          <w:rFonts w:ascii="Calibri" w:hAnsi="Calibri"/>
          <w:i w:val="0"/>
          <w:sz w:val="19"/>
        </w:rPr>
        <w:t>(3), 494–509.</w:t>
      </w:r>
    </w:p>
    <w:p>
      <w:pPr>
        <w:spacing w:after="80"/>
        <w:ind w:left="567" w:hanging="567"/>
      </w:pPr>
      <w:r>
        <w:rPr>
          <w:rFonts w:ascii="Calibri" w:hAnsi="Calibri"/>
          <w:i w:val="0"/>
          <w:sz w:val="19"/>
        </w:rPr>
        <w:t xml:space="preserve">Cohen, J. (1988). </w:t>
      </w:r>
      <w:r>
        <w:rPr>
          <w:rFonts w:ascii="Calibri" w:hAnsi="Calibri"/>
          <w:i/>
          <w:sz w:val="19"/>
        </w:rPr>
        <w:t>Statistical power analysis for the behavioral sciences</w:t>
      </w:r>
      <w:r>
        <w:rPr>
          <w:rFonts w:ascii="Calibri" w:hAnsi="Calibri"/>
          <w:i w:val="0"/>
          <w:sz w:val="19"/>
        </w:rPr>
        <w:t xml:space="preserve"> (2.ª ed.). Lawrence Erlbaum.</w:t>
      </w:r>
    </w:p>
    <w:p>
      <w:pPr>
        <w:spacing w:after="80"/>
        <w:ind w:left="567" w:hanging="567"/>
      </w:pPr>
      <w:r>
        <w:rPr>
          <w:rFonts w:ascii="Calibri" w:hAnsi="Calibri"/>
          <w:i w:val="0"/>
          <w:sz w:val="19"/>
        </w:rPr>
        <w:t xml:space="preserve">Cronbach, L. J. (1951). Coefficient alpha and the internal structure of tests. </w:t>
      </w:r>
      <w:r>
        <w:rPr>
          <w:rFonts w:ascii="Calibri" w:hAnsi="Calibri"/>
          <w:i/>
          <w:sz w:val="19"/>
        </w:rPr>
        <w:t>Psychometrika, 16</w:t>
      </w:r>
      <w:r>
        <w:rPr>
          <w:rFonts w:ascii="Calibri" w:hAnsi="Calibri"/>
          <w:i w:val="0"/>
          <w:sz w:val="19"/>
        </w:rPr>
        <w:t>(3), 297–334.</w:t>
      </w:r>
    </w:p>
    <w:p>
      <w:pPr>
        <w:spacing w:after="80"/>
        <w:ind w:left="567" w:hanging="567"/>
      </w:pPr>
      <w:r>
        <w:rPr>
          <w:rFonts w:ascii="Calibri" w:hAnsi="Calibri"/>
          <w:i w:val="0"/>
          <w:sz w:val="19"/>
        </w:rPr>
        <w:t xml:space="preserve">Granovetter, M. S. (1973). The strength of weak ties. </w:t>
      </w:r>
      <w:r>
        <w:rPr>
          <w:rFonts w:ascii="Calibri" w:hAnsi="Calibri"/>
          <w:i/>
          <w:sz w:val="19"/>
        </w:rPr>
        <w:t>American Journal of Sociology, 78</w:t>
      </w:r>
      <w:r>
        <w:rPr>
          <w:rFonts w:ascii="Calibri" w:hAnsi="Calibri"/>
          <w:i w:val="0"/>
          <w:sz w:val="19"/>
        </w:rPr>
        <w:t>(6), 1360–1380.</w:t>
      </w:r>
    </w:p>
    <w:p>
      <w:pPr>
        <w:spacing w:after="80"/>
        <w:ind w:left="567" w:hanging="567"/>
      </w:pPr>
      <w:r>
        <w:rPr>
          <w:rFonts w:ascii="Calibri" w:hAnsi="Calibri"/>
          <w:i w:val="0"/>
          <w:sz w:val="19"/>
        </w:rPr>
        <w:t xml:space="preserve">Holm, S. (1979). A simple sequentially rejective multiple test procedure. </w:t>
      </w:r>
      <w:r>
        <w:rPr>
          <w:rFonts w:ascii="Calibri" w:hAnsi="Calibri"/>
          <w:i/>
          <w:sz w:val="19"/>
        </w:rPr>
        <w:t>Scandinavian Journal of Statistics, 6</w:t>
      </w:r>
      <w:r>
        <w:rPr>
          <w:rFonts w:ascii="Calibri" w:hAnsi="Calibri"/>
          <w:i w:val="0"/>
          <w:sz w:val="19"/>
        </w:rPr>
        <w:t>(2), 65–70.</w:t>
      </w:r>
    </w:p>
    <w:p>
      <w:pPr>
        <w:spacing w:after="80"/>
        <w:ind w:left="567" w:hanging="567"/>
      </w:pPr>
      <w:r>
        <w:rPr>
          <w:rFonts w:ascii="Calibri" w:hAnsi="Calibri"/>
          <w:i w:val="0"/>
          <w:sz w:val="19"/>
        </w:rPr>
        <w:t xml:space="preserve">Kruskal, W. H., &amp; Wallis, W. A. (1952). Use of ranks in one-criterion variance analysis. </w:t>
      </w:r>
      <w:r>
        <w:rPr>
          <w:rFonts w:ascii="Calibri" w:hAnsi="Calibri"/>
          <w:i/>
          <w:sz w:val="19"/>
        </w:rPr>
        <w:t>Journal of the American Statistical Association, 47</w:t>
      </w:r>
      <w:r>
        <w:rPr>
          <w:rFonts w:ascii="Calibri" w:hAnsi="Calibri"/>
          <w:i w:val="0"/>
          <w:sz w:val="19"/>
        </w:rPr>
        <w:t>(260), 583–621.</w:t>
      </w:r>
    </w:p>
    <w:p>
      <w:pPr>
        <w:spacing w:after="80"/>
        <w:ind w:left="567" w:hanging="567"/>
      </w:pPr>
      <w:r>
        <w:rPr>
          <w:rFonts w:ascii="Calibri" w:hAnsi="Calibri"/>
          <w:i w:val="0"/>
          <w:sz w:val="19"/>
        </w:rPr>
        <w:t xml:space="preserve">Mann, H. B., &amp; Whitney, D. R. (1947). On a test of whether one of two random variables is stochastically larger than the other. </w:t>
      </w:r>
      <w:r>
        <w:rPr>
          <w:rFonts w:ascii="Calibri" w:hAnsi="Calibri"/>
          <w:i/>
          <w:sz w:val="19"/>
        </w:rPr>
        <w:t>Annals of Mathematical Statistics, 18</w:t>
      </w:r>
      <w:r>
        <w:rPr>
          <w:rFonts w:ascii="Calibri" w:hAnsi="Calibri"/>
          <w:i w:val="0"/>
          <w:sz w:val="19"/>
        </w:rPr>
        <w:t>(1), 50–60.</w:t>
      </w:r>
    </w:p>
    <w:p>
      <w:pPr>
        <w:spacing w:after="80"/>
        <w:ind w:left="567" w:hanging="567"/>
      </w:pPr>
      <w:r>
        <w:rPr>
          <w:rFonts w:ascii="Calibri" w:hAnsi="Calibri"/>
          <w:i w:val="0"/>
          <w:sz w:val="19"/>
        </w:rPr>
        <w:t xml:space="preserve">Norman, G. (2010). Likert scales, levels of measurement and the “laws” of statistics. </w:t>
      </w:r>
      <w:r>
        <w:rPr>
          <w:rFonts w:ascii="Calibri" w:hAnsi="Calibri"/>
          <w:i/>
          <w:sz w:val="19"/>
        </w:rPr>
        <w:t>Advances in Health Sciences Education, 15</w:t>
      </w:r>
      <w:r>
        <w:rPr>
          <w:rFonts w:ascii="Calibri" w:hAnsi="Calibri"/>
          <w:i w:val="0"/>
          <w:sz w:val="19"/>
        </w:rPr>
        <w:t>(5), 625–632.</w:t>
      </w:r>
    </w:p>
    <w:p>
      <w:pPr>
        <w:spacing w:after="80"/>
        <w:ind w:left="567" w:hanging="567"/>
      </w:pPr>
      <w:r>
        <w:rPr>
          <w:rFonts w:ascii="Calibri" w:hAnsi="Calibri"/>
          <w:i w:val="0"/>
          <w:sz w:val="19"/>
        </w:rPr>
        <w:t xml:space="preserve">Podsakoff, P. M., MacKenzie, S. B., Lee, J.-Y., &amp; Podsakoff, N. P. (2003). Common method biases in behavioral research. </w:t>
      </w:r>
      <w:r>
        <w:rPr>
          <w:rFonts w:ascii="Calibri" w:hAnsi="Calibri"/>
          <w:i/>
          <w:sz w:val="19"/>
        </w:rPr>
        <w:t>Journal of Applied Psychology, 88</w:t>
      </w:r>
      <w:r>
        <w:rPr>
          <w:rFonts w:ascii="Calibri" w:hAnsi="Calibri"/>
          <w:i w:val="0"/>
          <w:sz w:val="19"/>
        </w:rPr>
        <w:t>(5), 879–903.</w:t>
      </w:r>
    </w:p>
    <w:p>
      <w:pPr>
        <w:spacing w:after="80"/>
        <w:ind w:left="567" w:hanging="567"/>
      </w:pPr>
      <w:r>
        <w:rPr>
          <w:rFonts w:ascii="Calibri" w:hAnsi="Calibri"/>
          <w:i w:val="0"/>
          <w:sz w:val="19"/>
        </w:rPr>
        <w:t xml:space="preserve">Sullivan, G. M., &amp; Artino, A. R. (2013). Analyzing and interpreting data from Likert-type scales. </w:t>
      </w:r>
      <w:r>
        <w:rPr>
          <w:rFonts w:ascii="Calibri" w:hAnsi="Calibri"/>
          <w:i/>
          <w:sz w:val="19"/>
        </w:rPr>
        <w:t>Journal of Graduate Medical Education, 5</w:t>
      </w:r>
      <w:r>
        <w:rPr>
          <w:rFonts w:ascii="Calibri" w:hAnsi="Calibri"/>
          <w:i w:val="0"/>
          <w:sz w:val="19"/>
        </w:rPr>
        <w:t>(4), 541–542.</w:t>
      </w:r>
    </w:p>
    <w:p>
      <w:pPr>
        <w:spacing w:after="80"/>
        <w:ind w:left="567" w:hanging="567"/>
      </w:pPr>
      <w:r>
        <w:rPr>
          <w:rFonts w:ascii="Calibri" w:hAnsi="Calibri"/>
          <w:i w:val="0"/>
          <w:sz w:val="19"/>
        </w:rPr>
        <w:t xml:space="preserve">Vargha, A., &amp; Delaney, H. D. (2000). A critique and improvement of the CL common language effect size statistics of McGraw and Wong. </w:t>
      </w:r>
      <w:r>
        <w:rPr>
          <w:rFonts w:ascii="Calibri" w:hAnsi="Calibri"/>
          <w:i/>
          <w:sz w:val="19"/>
        </w:rPr>
        <w:t>Journal of Educational and Behavioral Statistics, 25</w:t>
      </w:r>
      <w:r>
        <w:rPr>
          <w:rFonts w:ascii="Calibri" w:hAnsi="Calibri"/>
          <w:i w:val="0"/>
          <w:sz w:val="19"/>
        </w:rPr>
        <w:t>(2), 101–132.</w:t>
      </w:r>
    </w:p>
    <w:p>
      <w:pPr>
        <w:spacing w:after="80"/>
        <w:ind w:left="567" w:hanging="567"/>
      </w:pPr>
      <w:r>
        <w:rPr>
          <w:rFonts w:ascii="Calibri" w:hAnsi="Calibri"/>
          <w:i w:val="0"/>
          <w:sz w:val="19"/>
        </w:rPr>
        <w:t xml:space="preserve">Duoc UC, Escuela de Administración y Negocios, Sede San Bernardo (2026). </w:t>
      </w:r>
      <w:r>
        <w:rPr>
          <w:rFonts w:ascii="Calibri" w:hAnsi="Calibri"/>
          <w:i/>
          <w:sz w:val="19"/>
        </w:rPr>
        <w:t>Proyecto La Puerta: Informe metodológico y análisis prospectivo de brechas en habilidades blandas para la práctica profesional</w:t>
      </w:r>
      <w:r>
        <w:rPr>
          <w:rFonts w:ascii="Calibri" w:hAnsi="Calibri"/>
          <w:i w:val="0"/>
          <w:sz w:val="19"/>
        </w:rPr>
        <w:t xml:space="preserve"> [documento interno].</w:t>
      </w:r>
    </w:p>
    <w:p>
      <w:pPr>
        <w:spacing w:after="80"/>
        <w:ind w:left="567" w:hanging="567"/>
      </w:pPr>
      <w:r>
        <w:rPr>
          <w:rFonts w:ascii="Calibri" w:hAnsi="Calibri"/>
          <w:i w:val="0"/>
          <w:sz w:val="19"/>
        </w:rPr>
        <w:t xml:space="preserve">Duoc UC (2026). </w:t>
      </w:r>
      <w:r>
        <w:rPr>
          <w:rFonts w:ascii="Calibri" w:hAnsi="Calibri"/>
          <w:i/>
          <w:sz w:val="19"/>
        </w:rPr>
        <w:t>Proyecto La Puerta: Base de datos y matriz de análisis (20261009_1658)</w:t>
      </w:r>
      <w:r>
        <w:rPr>
          <w:rFonts w:ascii="Calibri" w:hAnsi="Calibri"/>
          <w:i w:val="0"/>
          <w:sz w:val="19"/>
        </w:rPr>
        <w:t xml:space="preserve"> [base de datos interna, no publicada].</w:t>
      </w:r>
    </w:p>
    <w:p>
      <w:pPr>
        <w:spacing w:after="80"/>
        <w:ind w:left="567" w:hanging="567"/>
      </w:pPr>
      <w:r>
        <w:rPr>
          <w:rFonts w:ascii="Calibri" w:hAnsi="Calibri"/>
          <w:i w:val="0"/>
          <w:sz w:val="19"/>
        </w:rPr>
        <w:t xml:space="preserve">Campbell, D. T., &amp; Stanley, J. C. (1963). </w:t>
      </w:r>
      <w:r>
        <w:rPr>
          <w:rFonts w:ascii="Calibri" w:hAnsi="Calibri"/>
          <w:i/>
          <w:sz w:val="19"/>
        </w:rPr>
        <w:t>Experimental and quasi-experimental designs for research</w:t>
      </w:r>
      <w:r>
        <w:rPr>
          <w:rFonts w:ascii="Calibri" w:hAnsi="Calibri"/>
          <w:i w:val="0"/>
          <w:sz w:val="19"/>
        </w:rPr>
        <w:t>. Rand McNally.</w:t>
      </w:r>
    </w:p>
    <w:p>
      <w:pPr>
        <w:spacing w:after="80"/>
        <w:ind w:left="567" w:hanging="567"/>
      </w:pPr>
      <w:r>
        <w:rPr>
          <w:rFonts w:ascii="Calibri" w:hAnsi="Calibri"/>
          <w:i w:val="0"/>
          <w:sz w:val="19"/>
        </w:rPr>
        <w:t xml:space="preserve">Lent, R. W., Brown, S. D., &amp; Hackett, G. (1994). Toward a unifying social cognitive theory of career and academic interest, choice, and performance. </w:t>
      </w:r>
      <w:r>
        <w:rPr>
          <w:rFonts w:ascii="Calibri" w:hAnsi="Calibri"/>
          <w:i/>
          <w:sz w:val="19"/>
        </w:rPr>
        <w:t>Journal of Vocational Behavior, 45</w:t>
      </w:r>
      <w:r>
        <w:rPr>
          <w:rFonts w:ascii="Calibri" w:hAnsi="Calibri"/>
          <w:i w:val="0"/>
          <w:sz w:val="19"/>
        </w:rPr>
        <w:t>(1), 79–122.</w:t>
      </w:r>
    </w:p>
    <w:sectPr w:rsidR="00FC693F" w:rsidRPr="0006063C" w:rsidSect="00034616">
      <w:headerReference w:type="default" r:id="rId10"/>
      <w:footerReference w:type="default" r:id="rId11"/>
      <w:pgSz w:w="11906" w:h="16838"/>
      <w:pgMar w:top="130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8892A6"/>
        <w:sz w:val="17"/>
      </w:rPr>
      <w:t xml:space="preserve">Proyecto La Puerta · Página </w:t>
    </w:r>
    <w:r>
      <w:rPr>
        <w:color w:val="8892A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olor w:val="8892A6"/>
        <w:sz w:val="17"/>
      </w:rPr>
      <w:t>Proyecto La Puerta · Informe B · Análisis con hipótesis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8A8A"/>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eastAsia="Calibri"/>
      <w:b/>
      <w:bCs/>
      <w:color w:val="1B2A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