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9412"/>
      </w:tblGrid>
      <w:tr>
        <w:trPr>
          <w:trHeight w:val="13948" w:hRule="exact"/>
        </w:trPr>
        <w:tc>
          <w:tcPr>
            <w:tcW w:type="dxa" w:w="9411"/>
            <w:shd w:val="clear" w:color="auto" w:fill="1B2A49"/>
            <w:tcMar>
              <w:top w:w="700" w:type="dxa"/>
              <w:left w:w="500" w:type="dxa"/>
              <w:bottom w:w="500" w:type="dxa"/>
              <w:right w:w="50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2"/>
              </w:rPr>
              <w:t>PROYECTO LA PUERTA</w:t>
            </w:r>
          </w:p>
          <w:p>
            <w:r>
              <w:rPr>
                <w:rFonts w:ascii="Calibri" w:hAnsi="Calibri" w:eastAsia="Calibri"/>
                <w:color w:val="C9D1E3"/>
                <w:sz w:val="19"/>
              </w:rPr>
              <w:t>Duoc UC · Escuela de Administración y Negocios · Sede San Bernardo</w:t>
            </w:r>
          </w:p>
          <w:p>
            <w:pPr>
              <w:spacing w:after="1200"/>
            </w:pPr>
          </w:p>
          <w:p>
            <w:r>
              <w:rPr>
                <w:rFonts w:ascii="Calibri" w:hAnsi="Calibri" w:eastAsia="Calibri"/>
                <w:b/>
                <w:color w:val="F2A900"/>
                <w:sz w:val="20"/>
              </w:rPr>
              <w:t>PRODUCTO F · GUÍA PARA PÚBLICO NO ESPECIALIZADO</w:t>
            </w:r>
          </w:p>
          <w:p>
            <w:pPr>
              <w:spacing w:line="240" w:lineRule="auto" w:after="160"/>
            </w:pPr>
            <w:r>
              <w:rPr>
                <w:rFonts w:ascii="Calibri" w:hAnsi="Calibri" w:eastAsia="Calibri"/>
                <w:b/>
                <w:color w:val="FFFFFF"/>
                <w:sz w:val="60"/>
              </w:rPr>
              <w:t>Manual explicativo de resultados</w:t>
            </w:r>
          </w:p>
          <w:p>
            <w:pPr>
              <w:spacing w:after="600"/>
            </w:pPr>
            <w:r>
              <w:rPr>
                <w:rFonts w:ascii="Calibri" w:hAnsi="Calibri" w:eastAsia="Calibri"/>
                <w:color w:val="DDE3F0"/>
                <w:sz w:val="26"/>
              </w:rPr>
              <w:t>Qué significan los números de la encuesta, en palabras simples y con ejemplos de todos los días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07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ada_puert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0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</w:pPr>
          </w:p>
          <w:p>
            <w:r>
              <w:rPr>
                <w:rFonts w:ascii="Calibri" w:hAnsi="Calibri" w:eastAsia="Calibri"/>
                <w:color w:val="C9D1E3"/>
                <w:sz w:val="19"/>
              </w:rPr>
              <w:t>Encuesta de percepción y competencias · 184 estudiantes · aplicada del 13 al 16 de octubre de 2026</w:t>
            </w:r>
          </w:p>
          <w:p>
            <w:r>
              <w:rPr>
                <w:rFonts w:ascii="Calibri" w:hAnsi="Calibri" w:eastAsia="Calibri"/>
                <w:color w:val="AEB8CF"/>
                <w:sz w:val="18"/>
              </w:rPr>
              <w:t>Elaborado con apoyo de herramientas de Inteligencia Artificial (ver declaración al final) · Octubre de 2026</w:t>
            </w:r>
          </w:p>
        </w:tc>
      </w:tr>
    </w:tbl>
    <w:p>
      <w:pPr>
        <w:pStyle w:val="Heading1"/>
        <w:pageBreakBefore/>
      </w:pPr>
      <w:r>
        <w:t>Contenido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1.</w:t>
      </w:r>
      <w:r>
        <w:rPr>
          <w:rFonts w:ascii="Calibri" w:hAnsi="Calibri" w:eastAsia="Calibri"/>
          <w:sz w:val="22"/>
        </w:rPr>
        <w:t xml:space="preserve">  Cómo usar este manual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2.</w:t>
      </w:r>
      <w:r>
        <w:rPr>
          <w:rFonts w:ascii="Calibri" w:hAnsi="Calibri" w:eastAsia="Calibri"/>
          <w:sz w:val="22"/>
        </w:rPr>
        <w:t xml:space="preserve">  Siete ideas para leer números sin enredarse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3.</w:t>
      </w:r>
      <w:r>
        <w:rPr>
          <w:rFonts w:ascii="Calibri" w:hAnsi="Calibri" w:eastAsia="Calibri"/>
          <w:sz w:val="22"/>
        </w:rPr>
        <w:t xml:space="preserve">  Los resultados, uno por uno (fichas)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4.</w:t>
      </w:r>
      <w:r>
        <w:rPr>
          <w:rFonts w:ascii="Calibri" w:hAnsi="Calibri" w:eastAsia="Calibri"/>
          <w:sz w:val="22"/>
        </w:rPr>
        <w:t xml:space="preserve">  Qué significa esto para cada persona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5.</w:t>
      </w:r>
      <w:r>
        <w:rPr>
          <w:rFonts w:ascii="Calibri" w:hAnsi="Calibri" w:eastAsia="Calibri"/>
          <w:sz w:val="22"/>
        </w:rPr>
        <w:t xml:space="preserve">  Preguntas frecuentes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6.</w:t>
      </w:r>
      <w:r>
        <w:rPr>
          <w:rFonts w:ascii="Calibri" w:hAnsi="Calibri" w:eastAsia="Calibri"/>
          <w:sz w:val="22"/>
        </w:rPr>
        <w:t xml:space="preserve">  Glosario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7.</w:t>
      </w:r>
      <w:r>
        <w:rPr>
          <w:rFonts w:ascii="Calibri" w:hAnsi="Calibri" w:eastAsia="Calibri"/>
          <w:sz w:val="22"/>
        </w:rPr>
        <w:t xml:space="preserve">  Antes de citar un resultado: lista de verificación</w:t>
      </w:r>
    </w:p>
    <w:p>
      <w:pPr>
        <w:spacing w:after="100"/>
      </w:pPr>
      <w:r>
        <w:rPr>
          <w:rFonts w:ascii="Calibri" w:hAnsi="Calibri" w:eastAsia="Calibri"/>
          <w:b/>
          <w:sz w:val="22"/>
        </w:rPr>
        <w:t>8.</w:t>
      </w:r>
      <w:r>
        <w:rPr>
          <w:rFonts w:ascii="Calibri" w:hAnsi="Calibri" w:eastAsia="Calibri"/>
          <w:sz w:val="22"/>
        </w:rPr>
        <w:t xml:space="preserve">  Declaración de uso de IA y fuentes</w:t>
      </w:r>
    </w:p>
    <w:p>
      <w:pPr>
        <w:pStyle w:val="Heading1"/>
        <w:pageBreakBefore/>
      </w:pPr>
      <w:r>
        <w:t>1. Cómo usar este manual</w:t>
      </w:r>
    </w:p>
    <w:p>
      <w:r>
        <w:rPr>
          <w:rFonts w:ascii="Calibri" w:hAnsi="Calibri" w:eastAsia="Calibri"/>
        </w:rPr>
        <w:t xml:space="preserve">Este manual está escrito para quien </w:t>
      </w:r>
      <w:r>
        <w:rPr>
          <w:rFonts w:ascii="Calibri" w:hAnsi="Calibri" w:eastAsia="Calibri"/>
          <w:b/>
        </w:rPr>
        <w:t>no es estadístico ni investigador</w:t>
      </w:r>
      <w:r>
        <w:rPr>
          <w:rFonts w:ascii="Calibri" w:hAnsi="Calibri" w:eastAsia="Calibri"/>
        </w:rPr>
        <w:t xml:space="preserve">: directoras y directores de carrera, docentes, tutores de empresas, equipos de apoyo y también estudiantes. Explica, resultado por resultado, </w:t>
      </w:r>
      <w:r>
        <w:rPr>
          <w:rFonts w:ascii="Calibri" w:hAnsi="Calibri" w:eastAsia="Calibri"/>
          <w:b/>
        </w:rPr>
        <w:t>qué se encontró, qué significa en simple y qué implica</w:t>
      </w:r>
      <w:r>
        <w:rPr>
          <w:rFonts w:ascii="Calibri" w:hAnsi="Calibri" w:eastAsia="Calibri"/>
        </w:rPr>
        <w:t xml:space="preserve"> para quien debe tomar decisiones.</w:t>
      </w:r>
    </w:p>
    <w:p>
      <w:r>
        <w:rPr>
          <w:rFonts w:ascii="Calibri" w:hAnsi="Calibri" w:eastAsia="Calibri"/>
        </w:rPr>
        <w:t xml:space="preserve">No necesita leerlo de corrido. Puede ir directo a la </w:t>
      </w:r>
      <w:r>
        <w:rPr>
          <w:rFonts w:ascii="Calibri" w:hAnsi="Calibri" w:eastAsia="Calibri"/>
          <w:b/>
        </w:rPr>
        <w:t>ficha</w:t>
      </w:r>
      <w:r>
        <w:rPr>
          <w:rFonts w:ascii="Calibri" w:hAnsi="Calibri" w:eastAsia="Calibri"/>
        </w:rPr>
        <w:t xml:space="preserve"> que le interesa (Sección 3) y volver a la Sección 2 si alguna palabra le queda dudosa. Cada ficha tiene la misma estructura: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948"/>
        <w:gridCol w:w="6463"/>
      </w:tblGrid>
      <w:tr>
        <w:trPr>
          <w:tblHeader w:val="true"/>
        </w:trPr>
        <w:tc>
          <w:tcPr>
            <w:tcW w:type="dxa" w:w="294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Parte de la ficha</w:t>
            </w:r>
          </w:p>
        </w:tc>
        <w:tc>
          <w:tcPr>
            <w:tcW w:type="dxa" w:w="6463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Qué responde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9"/>
              </w:rPr>
              <w:t>Lo que muestran los datos</w:t>
            </w:r>
          </w:p>
        </w:tc>
        <w:tc>
          <w:tcPr>
            <w:tcW w:type="dxa" w:w="646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La cifra o hallazgo, sin adornos.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9"/>
              </w:rPr>
              <w:t>Dicho simple</w:t>
            </w:r>
          </w:p>
        </w:tc>
        <w:tc>
          <w:tcPr>
            <w:tcW w:type="dxa" w:w="646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Qué quiere decir en lenguaje cotidiano.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9"/>
              </w:rPr>
              <w:t>Un ejemplo de todos los días</w:t>
            </w:r>
          </w:p>
        </w:tc>
        <w:tc>
          <w:tcPr>
            <w:tcW w:type="dxa" w:w="646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Una comparación que ayuda a imaginarlo.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9"/>
              </w:rPr>
              <w:t>Qué implica para la organización</w:t>
            </w:r>
          </w:p>
        </w:tc>
        <w:tc>
          <w:tcPr>
            <w:tcW w:type="dxa" w:w="646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Qué decisión o conversación abre.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9"/>
              </w:rPr>
              <w:t>Cuánta confianza darle</w:t>
            </w:r>
          </w:p>
        </w:tc>
        <w:tc>
          <w:tcPr>
            <w:tcW w:type="dxa" w:w="646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Qué tan sólido es el hallazgo: alta, media o baja.</w:t>
            </w:r>
          </w:p>
        </w:tc>
      </w:tr>
    </w:tbl>
    <w:p>
      <w:pPr>
        <w:spacing w:after="40"/>
      </w:pP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4C8BD6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EEF4FB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4C8BD6"/>
                <w:sz w:val="21"/>
              </w:rPr>
              <w:t>De dónde vienen los números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Una encuesta confidencial respondida por </w:t>
            </w:r>
            <w:r>
              <w:rPr>
                <w:rFonts w:ascii="Calibri" w:hAnsi="Calibri" w:eastAsia="Calibri"/>
                <w:b/>
                <w:sz w:val="20"/>
              </w:rPr>
              <w:t>184 estudiantes</w:t>
            </w:r>
            <w:r>
              <w:rPr>
                <w:rFonts w:ascii="Calibri" w:hAnsi="Calibri" w:eastAsia="Calibri"/>
                <w:sz w:val="20"/>
              </w:rPr>
              <w:t xml:space="preserve"> de Duoc UC Sede San Bernardo entre el 13 y el 16 de octubre de 2026. Cada persona dijo qué tan de acuerdo estaba (de 1 a 5) con 15 afirmaciones sobre su preparación para el trabajo y respondió dos preguntas abiertas. </w:t>
            </w:r>
            <w:r>
              <w:rPr>
                <w:rFonts w:ascii="Calibri" w:hAnsi="Calibri" w:eastAsia="Calibri"/>
                <w:b/>
                <w:sz w:val="20"/>
              </w:rPr>
              <w:t>Son opiniones sobre uno mismo</w:t>
            </w:r>
            <w:r>
              <w:rPr>
                <w:rFonts w:ascii="Calibri" w:hAnsi="Calibri" w:eastAsia="Calibri"/>
                <w:sz w:val="20"/>
              </w:rPr>
              <w:t>, no pruebas ni evaluaciones de desempeño.</w:t>
            </w:r>
          </w:p>
        </w:tc>
      </w:tr>
    </w:tbl>
    <w:p>
      <w:pPr>
        <w:spacing w:after="40"/>
      </w:pP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E457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DEEE9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E4572E"/>
                <w:sz w:val="21"/>
              </w:rPr>
              <w:t>⚠ Una advertencia importante sobre los datos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2. Siete ideas para leer números sin enredarse</w:t>
      </w:r>
    </w:p>
    <w:p>
      <w:pPr>
        <w:pStyle w:val="Heading3"/>
      </w:pPr>
      <w:r>
        <w:t>1. La escala de 1 a 5</w:t>
      </w:r>
    </w:p>
    <w:p>
      <w:r>
        <w:rPr>
          <w:rFonts w:ascii="Calibri" w:hAnsi="Calibri" w:eastAsia="Calibri"/>
        </w:rPr>
        <w:t xml:space="preserve">Cada afirmación se respondió así: </w:t>
      </w:r>
      <w:r>
        <w:rPr>
          <w:rFonts w:ascii="Calibri" w:hAnsi="Calibri" w:eastAsia="Calibri"/>
          <w:b/>
        </w:rPr>
        <w:t>1</w:t>
      </w:r>
      <w:r>
        <w:rPr>
          <w:rFonts w:ascii="Calibri" w:hAnsi="Calibri" w:eastAsia="Calibri"/>
        </w:rPr>
        <w:t xml:space="preserve"> = muy en desacuerdo, </w:t>
      </w:r>
      <w:r>
        <w:rPr>
          <w:rFonts w:ascii="Calibri" w:hAnsi="Calibri" w:eastAsia="Calibri"/>
          <w:b/>
        </w:rPr>
        <w:t>2</w:t>
      </w:r>
      <w:r>
        <w:rPr>
          <w:rFonts w:ascii="Calibri" w:hAnsi="Calibri" w:eastAsia="Calibri"/>
        </w:rPr>
        <w:t xml:space="preserve"> = en desacuerdo, </w:t>
      </w:r>
      <w:r>
        <w:rPr>
          <w:rFonts w:ascii="Calibri" w:hAnsi="Calibri" w:eastAsia="Calibri"/>
          <w:b/>
        </w:rPr>
        <w:t>3</w:t>
      </w:r>
      <w:r>
        <w:rPr>
          <w:rFonts w:ascii="Calibri" w:hAnsi="Calibri" w:eastAsia="Calibri"/>
        </w:rPr>
        <w:t xml:space="preserve"> = ni de acuerdo ni en desacuerdo, </w:t>
      </w:r>
      <w:r>
        <w:rPr>
          <w:rFonts w:ascii="Calibri" w:hAnsi="Calibri" w:eastAsia="Calibri"/>
          <w:b/>
        </w:rPr>
        <w:t>4</w:t>
      </w:r>
      <w:r>
        <w:rPr>
          <w:rFonts w:ascii="Calibri" w:hAnsi="Calibri" w:eastAsia="Calibri"/>
        </w:rPr>
        <w:t xml:space="preserve"> = de acuerdo, </w:t>
      </w:r>
      <w:r>
        <w:rPr>
          <w:rFonts w:ascii="Calibri" w:hAnsi="Calibri" w:eastAsia="Calibri"/>
          <w:b/>
        </w:rPr>
        <w:t>5</w:t>
      </w:r>
      <w:r>
        <w:rPr>
          <w:rFonts w:ascii="Calibri" w:hAnsi="Calibri" w:eastAsia="Calibri"/>
        </w:rPr>
        <w:t xml:space="preserve"> = muy de acuerdo.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Es como calificar un restaurante con estrellas: un 4 significa «bien», un 5 «excelente», un 3 «ni fu ni fa».</w:t>
      </w:r>
    </w:p>
    <w:p>
      <w:pPr>
        <w:pStyle w:val="Heading3"/>
      </w:pPr>
      <w:r>
        <w:t>2. El promedio</w:t>
      </w:r>
    </w:p>
    <w:p>
      <w:r>
        <w:rPr>
          <w:rFonts w:ascii="Calibri" w:hAnsi="Calibri" w:eastAsia="Calibri"/>
        </w:rPr>
        <w:t>Suma de todas las respuestas dividida por el número de personas. Resume en un solo número qué tan de acuerdo estuvo el grupo.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Si cinco amigos califican una película con 5, 4, 4, 3 y 4, el promedio es 4,0. Pero ese 4,0 no muestra que alguien puso 3.</w:t>
      </w:r>
    </w:p>
    <w:p>
      <w:pPr>
        <w:pStyle w:val="Heading3"/>
      </w:pPr>
      <w:r>
        <w:t>3. El porcentaje de acuerdo</w:t>
      </w:r>
    </w:p>
    <w:p>
      <w:r>
        <w:rPr>
          <w:rFonts w:ascii="Calibri" w:hAnsi="Calibri" w:eastAsia="Calibri"/>
        </w:rPr>
        <w:t xml:space="preserve">Es el porcentaje de personas que respondió </w:t>
      </w:r>
      <w:r>
        <w:rPr>
          <w:rFonts w:ascii="Calibri" w:hAnsi="Calibri" w:eastAsia="Calibri"/>
          <w:b/>
        </w:rPr>
        <w:t>4 o 5</w:t>
      </w:r>
      <w:r>
        <w:rPr>
          <w:rFonts w:ascii="Calibri" w:hAnsi="Calibri" w:eastAsia="Calibri"/>
        </w:rPr>
        <w:t>. Es la cifra más fácil de entender y por eso la usamos para el semáforo.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Si de 100 personas, 70 dicen «de acuerdo» o «muy de acuerdo», el porcentaje de acuerdo es 70 %.</w:t>
      </w:r>
    </w:p>
    <w:p>
      <w:pPr>
        <w:pStyle w:val="Heading3"/>
      </w:pPr>
      <w:r>
        <w:t>4. La meta de 70 %</w:t>
      </w:r>
    </w:p>
    <w:p>
      <w:r>
        <w:rPr>
          <w:rFonts w:ascii="Calibri" w:hAnsi="Calibri" w:eastAsia="Calibri"/>
        </w:rPr>
        <w:t xml:space="preserve">Usamos 70 % como meta por analogía con la </w:t>
      </w:r>
      <w:r>
        <w:rPr>
          <w:rFonts w:ascii="Calibri" w:hAnsi="Calibri" w:eastAsia="Calibri"/>
          <w:b/>
        </w:rPr>
        <w:t>exigencia del 70 %</w:t>
      </w:r>
      <w:r>
        <w:rPr>
          <w:rFonts w:ascii="Calibri" w:hAnsi="Calibri" w:eastAsia="Calibri"/>
        </w:rPr>
        <w:t xml:space="preserve"> que se aplica en las rúbricas de Duoc: se espera que la mayoría —no solo la mitad— esté de acuerdo.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Es como pedir 70 % de logro para dar por aprobada una evaluación.</w:t>
      </w:r>
    </w:p>
    <w:p>
      <w:pPr>
        <w:pStyle w:val="Heading3"/>
      </w:pPr>
      <w:r>
        <w:t>5. El margen de error</w:t>
      </w:r>
    </w:p>
    <w:p>
      <w:r>
        <w:rPr>
          <w:rFonts w:ascii="Calibri" w:hAnsi="Calibri" w:eastAsia="Calibri"/>
        </w:rPr>
        <w:t>Como solo respondieron algunos estudiantes y no todos, el número exacto podría ser algo distinto si preguntáramos a otro grupo. El margen de error es el «más o menos» alrededor del promedio.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Es como la balanza de la feria: marca 1 kilo, pero podría ser 980 o 1.020 gramos. Si dos marcas se traslapan, no hay diferencia clara.</w:t>
      </w:r>
    </w:p>
    <w:p>
      <w:pPr>
        <w:pStyle w:val="Heading3"/>
      </w:pPr>
      <w:r>
        <w:t>6. Diferencia grande o pequeña, y diferencia «significativa»</w:t>
      </w:r>
    </w:p>
    <w:p>
      <w:r>
        <w:rPr>
          <w:rFonts w:ascii="Calibri" w:hAnsi="Calibri" w:eastAsia="Calibri"/>
        </w:rPr>
        <w:t xml:space="preserve">Una diferencia puede ser </w:t>
      </w:r>
      <w:r>
        <w:rPr>
          <w:rFonts w:ascii="Calibri" w:hAnsi="Calibri" w:eastAsia="Calibri"/>
          <w:b/>
        </w:rPr>
        <w:t>real pero pequeña</w:t>
      </w:r>
      <w:r>
        <w:rPr>
          <w:rFonts w:ascii="Calibri" w:hAnsi="Calibri" w:eastAsia="Calibri"/>
        </w:rPr>
        <w:t xml:space="preserve">, o </w:t>
      </w:r>
      <w:r>
        <w:rPr>
          <w:rFonts w:ascii="Calibri" w:hAnsi="Calibri" w:eastAsia="Calibri"/>
          <w:b/>
        </w:rPr>
        <w:t>grande pero poco confiable</w:t>
      </w:r>
      <w:r>
        <w:rPr>
          <w:rFonts w:ascii="Calibri" w:hAnsi="Calibri" w:eastAsia="Calibri"/>
        </w:rPr>
        <w:t xml:space="preserve"> si hay pocas personas. «Significativa» solo quiere decir «es difícil que sea casualidad»; </w:t>
      </w:r>
      <w:r>
        <w:rPr>
          <w:rFonts w:ascii="Calibri" w:hAnsi="Calibri" w:eastAsia="Calibri"/>
          <w:b/>
        </w:rPr>
        <w:t>no</w:t>
      </w:r>
      <w:r>
        <w:rPr>
          <w:rFonts w:ascii="Calibri" w:hAnsi="Calibri" w:eastAsia="Calibri"/>
        </w:rPr>
        <w:t xml:space="preserve"> quiere decir «importante».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Diferencia de 0,17 puntos (con vs. sin práctica) en una escala de 1 a 5: es como pasar de un 4,0 a un 4,17. Se nota poco.</w:t>
      </w:r>
    </w:p>
    <w:p>
      <w:pPr>
        <w:pStyle w:val="Heading3"/>
      </w:pPr>
      <w:r>
        <w:t>7. Relación no es causa</w:t>
      </w:r>
    </w:p>
    <w:p>
      <w:r>
        <w:rPr>
          <w:rFonts w:ascii="Calibri" w:hAnsi="Calibri" w:eastAsia="Calibri"/>
        </w:rPr>
        <w:t>Que dos cosas vayan juntas (por ejemplo, saber cómo es el trabajo y sentirse seguro) no prueba que una cause la otra. Puede haber una tercera cosa detrás, o que sea al revés.</w:t>
      </w:r>
    </w:p>
    <w:p>
      <w:r>
        <w:rPr>
          <w:rFonts w:ascii="Calibri" w:hAnsi="Calibri" w:eastAsia="Calibri"/>
          <w:b/>
          <w:color w:val="8892A6"/>
          <w:sz w:val="19"/>
        </w:rPr>
        <w:t>Ejemplo cotidiano:</w:t>
      </w:r>
      <w:r>
        <w:rPr>
          <w:rFonts w:ascii="Calibri" w:hAnsi="Calibri" w:eastAsia="Calibri"/>
          <w:color w:val="8892A6"/>
          <w:sz w:val="19"/>
        </w:rPr>
        <w:t xml:space="preserve"> Las personas que llevan paraguas y las que se mojan suelen coincidir: el paraguas no causa la lluvia.</w:t>
      </w:r>
    </w:p>
    <w:p>
      <w:pPr>
        <w:pStyle w:val="Heading1"/>
        <w:pageBreakBefore/>
      </w:pPr>
      <w:r>
        <w:t>3. Los resultados, uno por uno (fichas)</w:t>
      </w:r>
    </w:p>
    <w:p>
      <w:pPr>
        <w:pStyle w:val="Heading2"/>
      </w:pPr>
      <w:r>
        <w:t>Ficha 1 · El puntaje global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232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_global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32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Cómo se distribuye el puntaje global.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Promedio global </w:t>
            </w:r>
            <w:r>
              <w:rPr>
                <w:rFonts w:ascii="Calibri" w:hAnsi="Calibri" w:eastAsia="Calibri"/>
                <w:b/>
                <w:sz w:val="19"/>
              </w:rPr>
              <w:t>3,87</w:t>
            </w:r>
            <w:r>
              <w:rPr>
                <w:rFonts w:ascii="Calibri" w:hAnsi="Calibri" w:eastAsia="Calibri"/>
                <w:sz w:val="19"/>
              </w:rPr>
              <w:t xml:space="preserve"> de 5 (margen de error: 3,77 a 3,96). El 70 % de todas las respuestas fue «de acuerdo» o «muy de acuerdo» y solo el 9 % «en desacuerdo».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Los estudiantes, en general, se sienten bastante preparados. No es un resultado sobresaliente (que sería 4,2 o más), pero tampoco preocupante (menos de 3,5).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curso con nota promedio 5,3 en escala de 1 a 7: «va bien», con espacio para subir.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Hay una base para construir. Lo que corresponde es mejorar puntos específicos, no rehacer todo.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8A8A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2"/>
      </w:pPr>
      <w:r>
        <w:t>Ficha 2 · Las fortalezas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Más de 80 % de acuerdo en: dialogar y lograr acuerdos en equipo (</w:t>
            </w:r>
            <w:r>
              <w:rPr>
                <w:rFonts w:ascii="Calibri" w:hAnsi="Calibri" w:eastAsia="Calibri"/>
                <w:b/>
                <w:sz w:val="19"/>
              </w:rPr>
              <w:t>87 %</w:t>
            </w:r>
            <w:r>
              <w:rPr>
                <w:rFonts w:ascii="Calibri" w:hAnsi="Calibri" w:eastAsia="Calibri"/>
                <w:sz w:val="19"/>
              </w:rPr>
              <w:t>), mantener la ética bajo presión (</w:t>
            </w:r>
            <w:r>
              <w:rPr>
                <w:rFonts w:ascii="Calibri" w:hAnsi="Calibri" w:eastAsia="Calibri"/>
                <w:b/>
                <w:sz w:val="19"/>
              </w:rPr>
              <w:t>85 %</w:t>
            </w:r>
            <w:r>
              <w:rPr>
                <w:rFonts w:ascii="Calibri" w:hAnsi="Calibri" w:eastAsia="Calibri"/>
                <w:sz w:val="19"/>
              </w:rPr>
              <w:t>), querer proyectos con empresas (</w:t>
            </w:r>
            <w:r>
              <w:rPr>
                <w:rFonts w:ascii="Calibri" w:hAnsi="Calibri" w:eastAsia="Calibri"/>
                <w:b/>
                <w:sz w:val="19"/>
              </w:rPr>
              <w:t>83 %</w:t>
            </w:r>
            <w:r>
              <w:rPr>
                <w:rFonts w:ascii="Calibri" w:hAnsi="Calibri" w:eastAsia="Calibri"/>
                <w:sz w:val="19"/>
              </w:rPr>
              <w:t>), confiar ante una tarea nueva (</w:t>
            </w:r>
            <w:r>
              <w:rPr>
                <w:rFonts w:ascii="Calibri" w:hAnsi="Calibri" w:eastAsia="Calibri"/>
                <w:b/>
                <w:sz w:val="19"/>
              </w:rPr>
              <w:t>82 %</w:t>
            </w:r>
            <w:r>
              <w:rPr>
                <w:rFonts w:ascii="Calibri" w:hAnsi="Calibri" w:eastAsia="Calibri"/>
                <w:sz w:val="19"/>
              </w:rPr>
              <w:t>) y saber cuándo actuar solo o consultar (</w:t>
            </w:r>
            <w:r>
              <w:rPr>
                <w:rFonts w:ascii="Calibri" w:hAnsi="Calibri" w:eastAsia="Calibri"/>
                <w:b/>
                <w:sz w:val="19"/>
              </w:rPr>
              <w:t>80 %</w:t>
            </w:r>
            <w:r>
              <w:rPr>
                <w:rFonts w:ascii="Calibri" w:hAnsi="Calibri" w:eastAsia="Calibri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Los estudiantes llegan con buena </w:t>
            </w:r>
            <w:r>
              <w:rPr>
                <w:rFonts w:ascii="Calibri" w:hAnsi="Calibri" w:eastAsia="Calibri"/>
                <w:b/>
                <w:sz w:val="19"/>
              </w:rPr>
              <w:t>actitud</w:t>
            </w:r>
            <w:r>
              <w:rPr>
                <w:rFonts w:ascii="Calibri" w:hAnsi="Calibri" w:eastAsia="Calibri"/>
                <w:sz w:val="19"/>
              </w:rPr>
              <w:t>: dispuestos a conversar, a aprender, a hacer las cosas bien.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equipo de fútbol con buenas ganas y buen compañerismo: falta pulir la técnica, pero la base humana está.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Se puede apostar a metodologías participativas y de equipo; las quejas por «falta de actitud» no tienen respaldo en estos datos.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8A8A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(son opiniones, no conductas observadas).</w:t>
            </w:r>
          </w:p>
        </w:tc>
      </w:tr>
    </w:tbl>
    <w:p>
      <w:pPr>
        <w:spacing w:after="80"/>
      </w:pPr>
    </w:p>
    <w:p>
      <w:pPr>
        <w:pStyle w:val="Heading2"/>
      </w:pPr>
      <w:r>
        <w:t>Ficha 3 · Conocer el trabajo «de verdad»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Menos de 70 % de acuerdo en: conocer las tareas reales (</w:t>
            </w:r>
            <w:r>
              <w:rPr>
                <w:rFonts w:ascii="Calibri" w:hAnsi="Calibri" w:eastAsia="Calibri"/>
                <w:b/>
                <w:sz w:val="19"/>
              </w:rPr>
              <w:t>68 %</w:t>
            </w:r>
            <w:r>
              <w:rPr>
                <w:rFonts w:ascii="Calibri" w:hAnsi="Calibri" w:eastAsia="Calibri"/>
                <w:sz w:val="19"/>
              </w:rPr>
              <w:t>), las exigencias de las empresas (</w:t>
            </w:r>
            <w:r>
              <w:rPr>
                <w:rFonts w:ascii="Calibri" w:hAnsi="Calibri" w:eastAsia="Calibri"/>
                <w:b/>
                <w:sz w:val="19"/>
              </w:rPr>
              <w:t>69 %</w:t>
            </w:r>
            <w:r>
              <w:rPr>
                <w:rFonts w:ascii="Calibri" w:hAnsi="Calibri" w:eastAsia="Calibri"/>
                <w:sz w:val="19"/>
              </w:rPr>
              <w:t>), haber comprobado si el trabajo calza con sus intereses (</w:t>
            </w:r>
            <w:r>
              <w:rPr>
                <w:rFonts w:ascii="Calibri" w:hAnsi="Calibri" w:eastAsia="Calibri"/>
                <w:b/>
                <w:sz w:val="19"/>
              </w:rPr>
              <w:t>62 %</w:t>
            </w:r>
            <w:r>
              <w:rPr>
                <w:rFonts w:ascii="Calibri" w:hAnsi="Calibri" w:eastAsia="Calibri"/>
                <w:sz w:val="19"/>
              </w:rPr>
              <w:t>) y elegir el método adecuado para la empresa (</w:t>
            </w:r>
            <w:r>
              <w:rPr>
                <w:rFonts w:ascii="Calibri" w:hAnsi="Calibri" w:eastAsia="Calibri"/>
                <w:b/>
                <w:sz w:val="19"/>
              </w:rPr>
              <w:t>66 %</w:t>
            </w:r>
            <w:r>
              <w:rPr>
                <w:rFonts w:ascii="Calibri" w:hAnsi="Calibri" w:eastAsia="Calibri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Se sienten capaces, pero </w:t>
            </w:r>
            <w:r>
              <w:rPr>
                <w:rFonts w:ascii="Calibri" w:hAnsi="Calibri" w:eastAsia="Calibri"/>
                <w:b/>
                <w:sz w:val="19"/>
              </w:rPr>
              <w:t>aún no han visto lo suficiente del trabajo real</w:t>
            </w:r>
            <w:r>
              <w:rPr>
                <w:rFonts w:ascii="Calibri" w:hAnsi="Calibri" w:eastAsia="Calibri"/>
                <w:sz w:val="19"/>
              </w:rPr>
              <w:t xml:space="preserve"> para tener certeza.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alguien que aprendió a manejar en un simulador: se siente capaz, pero todavía no ha salido a la calle.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Priorizar actividades que acerquen la realidad laboral: visitas, simulaciones, casos con empresas, tutores de empresa que cuenten su día a día.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2A900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para el dato; media para la explicación.</w:t>
            </w:r>
          </w:p>
        </w:tc>
      </w:tr>
    </w:tbl>
    <w:p>
      <w:pPr>
        <w:spacing w:after="80"/>
      </w:pPr>
    </w:p>
    <w:p>
      <w:pPr>
        <w:pStyle w:val="Heading2"/>
      </w:pPr>
      <w:r>
        <w:t>Ficha 4 · La red de contactos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491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6_red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9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Interés alto, red baja.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Solo </w:t>
            </w:r>
            <w:r>
              <w:rPr>
                <w:rFonts w:ascii="Calibri" w:hAnsi="Calibri" w:eastAsia="Calibri"/>
                <w:b/>
                <w:sz w:val="19"/>
              </w:rPr>
              <w:t>41 %</w:t>
            </w:r>
            <w:r>
              <w:rPr>
                <w:rFonts w:ascii="Calibri" w:hAnsi="Calibri" w:eastAsia="Calibri"/>
                <w:sz w:val="19"/>
              </w:rPr>
              <w:t xml:space="preserve"> dice tener una red de contactos laborales a quienes recurrir; </w:t>
            </w:r>
            <w:r>
              <w:rPr>
                <w:rFonts w:ascii="Calibri" w:hAnsi="Calibri" w:eastAsia="Calibri"/>
                <w:b/>
                <w:sz w:val="19"/>
              </w:rPr>
              <w:t>30 %</w:t>
            </w:r>
            <w:r>
              <w:rPr>
                <w:rFonts w:ascii="Calibri" w:hAnsi="Calibri" w:eastAsia="Calibri"/>
                <w:sz w:val="19"/>
              </w:rPr>
              <w:t xml:space="preserve"> dice que no. Es la afirmación más baja de las 15 y </w:t>
            </w:r>
            <w:r>
              <w:rPr>
                <w:rFonts w:ascii="Calibri" w:hAnsi="Calibri" w:eastAsia="Calibri"/>
                <w:b/>
                <w:sz w:val="19"/>
              </w:rPr>
              <w:t>es significativamente menor que cada una de las otras 14</w:t>
            </w:r>
            <w:r>
              <w:rPr>
                <w:rFonts w:ascii="Calibri" w:hAnsi="Calibri" w:eastAsia="Calibri"/>
                <w:sz w:val="19"/>
              </w:rPr>
              <w:t>. Sucede con y sin práctica previa y en todos los años.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Más de la mitad de los estudiantes </w:t>
            </w:r>
            <w:r>
              <w:rPr>
                <w:rFonts w:ascii="Calibri" w:hAnsi="Calibri" w:eastAsia="Calibri"/>
                <w:b/>
                <w:sz w:val="19"/>
              </w:rPr>
              <w:t>no tiene a quién preguntar</w:t>
            </w:r>
            <w:r>
              <w:rPr>
                <w:rFonts w:ascii="Calibri" w:hAnsi="Calibri" w:eastAsia="Calibri"/>
                <w:sz w:val="19"/>
              </w:rPr>
              <w:t xml:space="preserve"> cuando quiere saber cómo es un trabajo o cómo conseguir una práctica.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llegar a una ciudad nueva sin conocer a nadie: se puede salir adelante, pero se pierden recomendaciones, información y oportunidades.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Es la brecha más clara. Conviene crear </w:t>
            </w:r>
            <w:r>
              <w:rPr>
                <w:rFonts w:ascii="Calibri" w:hAnsi="Calibri" w:eastAsia="Calibri"/>
                <w:b/>
                <w:sz w:val="19"/>
              </w:rPr>
              <w:t>puentes</w:t>
            </w:r>
            <w:r>
              <w:rPr>
                <w:rFonts w:ascii="Calibri" w:hAnsi="Calibri" w:eastAsia="Calibri"/>
                <w:sz w:val="19"/>
              </w:rPr>
              <w:t xml:space="preserve"> con egresados, empresas socias y profesionales desde el primer año (mentorías, charlas, ferias).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E4572E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2"/>
      </w:pPr>
      <w:r>
        <w:t>Ficha 5 · Querer vs. tener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Quieren participar en proyectos con empresas reales (</w:t>
            </w:r>
            <w:r>
              <w:rPr>
                <w:rFonts w:ascii="Calibri" w:hAnsi="Calibri" w:eastAsia="Calibri"/>
                <w:b/>
                <w:sz w:val="19"/>
              </w:rPr>
              <w:t>83 %</w:t>
            </w:r>
            <w:r>
              <w:rPr>
                <w:rFonts w:ascii="Calibri" w:hAnsi="Calibri" w:eastAsia="Calibri"/>
                <w:sz w:val="19"/>
              </w:rPr>
              <w:t xml:space="preserve">), pero no tienen la red para hacerlo (P12: 41 %). Por eso el promedio de la dimensión de redes (3,72) </w:t>
            </w:r>
            <w:r>
              <w:rPr>
                <w:rFonts w:ascii="Calibri" w:hAnsi="Calibri" w:eastAsia="Calibri"/>
                <w:b/>
                <w:sz w:val="19"/>
              </w:rPr>
              <w:t>esconde dos realidades opuestas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Hay </w:t>
            </w:r>
            <w:r>
              <w:rPr>
                <w:rFonts w:ascii="Calibri" w:hAnsi="Calibri" w:eastAsia="Calibri"/>
                <w:b/>
                <w:sz w:val="19"/>
              </w:rPr>
              <w:t>ganas de sobra</w:t>
            </w:r>
            <w:r>
              <w:rPr>
                <w:rFonts w:ascii="Calibri" w:hAnsi="Calibri" w:eastAsia="Calibri"/>
                <w:sz w:val="19"/>
              </w:rPr>
              <w:t xml:space="preserve"> y </w:t>
            </w:r>
            <w:r>
              <w:rPr>
                <w:rFonts w:ascii="Calibri" w:hAnsi="Calibri" w:eastAsia="Calibri"/>
                <w:b/>
                <w:sz w:val="19"/>
              </w:rPr>
              <w:t>pocos puentes</w:t>
            </w:r>
            <w:r>
              <w:rPr>
                <w:rFonts w:ascii="Calibri" w:hAnsi="Calibri" w:eastAsia="Calibri"/>
                <w:sz w:val="19"/>
              </w:rPr>
              <w:t>. El problema no es motivación: es acceso.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tener hambre en una casa sin cocina: el apetito existe, falta la forma de satisfacerlo.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Las iniciativas tipo La Puerta tienen una demanda ya instalada. Además, en la próxima encuesta conviene separar «interés» de «red».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8A8A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Alta.</w:t>
            </w:r>
          </w:p>
        </w:tc>
      </w:tr>
    </w:tbl>
    <w:p>
      <w:pPr>
        <w:spacing w:after="80"/>
      </w:pPr>
    </w:p>
    <w:p>
      <w:pPr>
        <w:pStyle w:val="Heading2"/>
      </w:pPr>
      <w:r>
        <w:t>Ficha 6 · Práctica previa: ¿hace diferencia?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32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_practi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Con y sin práctica previa, por dimensión.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Quienes ya hicieron una práctica puntúan </w:t>
            </w:r>
            <w:r>
              <w:rPr>
                <w:rFonts w:ascii="Calibri" w:hAnsi="Calibri" w:eastAsia="Calibri"/>
                <w:b/>
                <w:sz w:val="19"/>
              </w:rPr>
              <w:t>3,97</w:t>
            </w:r>
            <w:r>
              <w:rPr>
                <w:rFonts w:ascii="Calibri" w:hAnsi="Calibri" w:eastAsia="Calibri"/>
                <w:sz w:val="19"/>
              </w:rPr>
              <w:t xml:space="preserve"> y quienes no </w:t>
            </w:r>
            <w:r>
              <w:rPr>
                <w:rFonts w:ascii="Calibri" w:hAnsi="Calibri" w:eastAsia="Calibri"/>
                <w:b/>
                <w:sz w:val="19"/>
              </w:rPr>
              <w:t>3,80</w:t>
            </w:r>
            <w:r>
              <w:rPr>
                <w:rFonts w:ascii="Calibri" w:hAnsi="Calibri" w:eastAsia="Calibri"/>
                <w:sz w:val="19"/>
              </w:rPr>
              <w:t xml:space="preserve">: una diferencia de </w:t>
            </w:r>
            <w:r>
              <w:rPr>
                <w:rFonts w:ascii="Calibri" w:hAnsi="Calibri" w:eastAsia="Calibri"/>
                <w:b/>
                <w:sz w:val="19"/>
              </w:rPr>
              <w:t>0,17</w:t>
            </w:r>
            <w:r>
              <w:rPr>
                <w:rFonts w:ascii="Calibri" w:hAnsi="Calibri" w:eastAsia="Calibri"/>
                <w:sz w:val="19"/>
              </w:rPr>
              <w:t xml:space="preserve">. El proyecto esperaba una diferencia de 0,8 a 1,2 puntos. La diferencia observada es </w:t>
            </w:r>
            <w:r>
              <w:rPr>
                <w:rFonts w:ascii="Calibri" w:hAnsi="Calibri" w:eastAsia="Calibri"/>
                <w:b/>
                <w:sz w:val="19"/>
              </w:rPr>
              <w:t>pequeña y no concluyente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La práctica previa </w:t>
            </w:r>
            <w:r>
              <w:rPr>
                <w:rFonts w:ascii="Calibri" w:hAnsi="Calibri" w:eastAsia="Calibri"/>
                <w:b/>
                <w:sz w:val="19"/>
              </w:rPr>
              <w:t>ayuda un poco</w:t>
            </w:r>
            <w:r>
              <w:rPr>
                <w:rFonts w:ascii="Calibri" w:hAnsi="Calibri" w:eastAsia="Calibri"/>
                <w:sz w:val="19"/>
              </w:rPr>
              <w:t>, pero no es lo que separa a quienes se sienten preparados de quienes no.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la ventaja de haber probado antes un deporte: ayuda a partir, pero lo que decide es cuánto se practica y cómo.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No conviene tratar a las personas «sin práctica previa» como un grupo de riesgo por esa sola razón. Es mejor mirar quién está en semáforo rojo y qué brechas concretas tiene.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2A900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(efecto pequeño; la muestra no permite ser tajante).</w:t>
            </w:r>
          </w:p>
        </w:tc>
      </w:tr>
    </w:tbl>
    <w:p>
      <w:pPr>
        <w:spacing w:after="80"/>
      </w:pPr>
    </w:p>
    <w:p>
      <w:pPr>
        <w:pStyle w:val="Heading2"/>
      </w:pPr>
      <w:r>
        <w:t>Ficha 7 · El año de estudio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No hay una escalera que suba semestre a semestre. El tramo 3.º–4.º semestre es el más bajo (3,76), y 5.º semestre o más el más alto (3,99), pero estas diferencias </w:t>
            </w:r>
            <w:r>
              <w:rPr>
                <w:rFonts w:ascii="Calibri" w:hAnsi="Calibri" w:eastAsia="Calibri"/>
                <w:b/>
                <w:sz w:val="19"/>
              </w:rPr>
              <w:t>no son confiables</w:t>
            </w:r>
            <w:r>
              <w:rPr>
                <w:rFonts w:ascii="Calibri" w:hAnsi="Calibri" w:eastAsia="Calibri"/>
                <w:sz w:val="19"/>
              </w:rPr>
              <w:t xml:space="preserve"> estadísticamente.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Avanzar de semestre </w:t>
            </w:r>
            <w:r>
              <w:rPr>
                <w:rFonts w:ascii="Calibri" w:hAnsi="Calibri" w:eastAsia="Calibri"/>
                <w:b/>
                <w:sz w:val="19"/>
              </w:rPr>
              <w:t>por sí solo</w:t>
            </w:r>
            <w:r>
              <w:rPr>
                <w:rFonts w:ascii="Calibri" w:hAnsi="Calibri" w:eastAsia="Calibri"/>
                <w:sz w:val="19"/>
              </w:rPr>
              <w:t xml:space="preserve"> no hace que los estudiantes se sientan más preparados.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 curso de natación: pasar los meses no basta; hay que meterse al agua.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Una hipótesis a observar: un «valle» a mitad de carrera. No es un hecho; hay que mirarlo en la próxima medición.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E4572E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Baja.</w:t>
            </w:r>
          </w:p>
        </w:tc>
      </w:tr>
    </w:tbl>
    <w:p>
      <w:pPr>
        <w:spacing w:after="80"/>
      </w:pPr>
    </w:p>
    <w:p>
      <w:pPr>
        <w:pStyle w:val="Heading2"/>
      </w:pPr>
      <w:r>
        <w:t>Ficha 8 · El semáforo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0551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2_semaforo_ofic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5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Semáforo oficial, con y sin práctica previa.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Con los cortes oficiales del proyecto (verde 4,20 o más; amarillo 3,50 a 4,19; rojo menos de 3,50): </w:t>
            </w:r>
            <w:r>
              <w:rPr>
                <w:rFonts w:ascii="Calibri" w:hAnsi="Calibri" w:eastAsia="Calibri"/>
                <w:b/>
                <w:sz w:val="19"/>
              </w:rPr>
              <w:t>32 %</w:t>
            </w:r>
            <w:r>
              <w:rPr>
                <w:rFonts w:ascii="Calibri" w:hAnsi="Calibri" w:eastAsia="Calibri"/>
                <w:sz w:val="19"/>
              </w:rPr>
              <w:t xml:space="preserve"> verde, </w:t>
            </w:r>
            <w:r>
              <w:rPr>
                <w:rFonts w:ascii="Calibri" w:hAnsi="Calibri" w:eastAsia="Calibri"/>
                <w:b/>
                <w:sz w:val="19"/>
              </w:rPr>
              <w:t>47 %</w:t>
            </w:r>
            <w:r>
              <w:rPr>
                <w:rFonts w:ascii="Calibri" w:hAnsi="Calibri" w:eastAsia="Calibri"/>
                <w:sz w:val="19"/>
              </w:rPr>
              <w:t xml:space="preserve"> amarillo y </w:t>
            </w:r>
            <w:r>
              <w:rPr>
                <w:rFonts w:ascii="Calibri" w:hAnsi="Calibri" w:eastAsia="Calibri"/>
                <w:b/>
                <w:sz w:val="19"/>
              </w:rPr>
              <w:t>21 %</w:t>
            </w:r>
            <w:r>
              <w:rPr>
                <w:rFonts w:ascii="Calibri" w:hAnsi="Calibri" w:eastAsia="Calibri"/>
                <w:sz w:val="19"/>
              </w:rPr>
              <w:t xml:space="preserve"> rojo (38 personas). Rojos: 14 % con práctica previa y 25 % sin práctica.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Cerca de </w:t>
            </w:r>
            <w:r>
              <w:rPr>
                <w:rFonts w:ascii="Calibri" w:hAnsi="Calibri" w:eastAsia="Calibri"/>
                <w:b/>
                <w:sz w:val="19"/>
              </w:rPr>
              <w:t>uno de cada cinco</w:t>
            </w:r>
            <w:r>
              <w:rPr>
                <w:rFonts w:ascii="Calibri" w:hAnsi="Calibri" w:eastAsia="Calibri"/>
                <w:sz w:val="19"/>
              </w:rPr>
              <w:t xml:space="preserve"> estudiantes tiene una autopercepción baja y podría necesitar acompañamiento antes de la práctica.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una alerta preventiva de salud: no es un diagnóstico, sino una señal para mirar con más atención.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Conviene acompañar a ese grupo con tutoría y actividades específicas, y revisar las respuestas de cada persona antes de la práctica.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2A900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Media-alta (depende de cómo se fijen los cortes).</w:t>
            </w:r>
          </w:p>
        </w:tc>
      </w:tr>
    </w:tbl>
    <w:p>
      <w:pPr>
        <w:spacing w:after="80"/>
      </w:pPr>
    </w:p>
    <w:p>
      <w:pPr>
        <w:pStyle w:val="Heading2"/>
      </w:pPr>
      <w:r>
        <w:t>Ficha 9 · Lo que se asocia con sentirse seguro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97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3_h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97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Qué factores pesan más para sentirse seguro de adaptarse.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La seguridad de poder adaptarse a un puesto se relaciona </w:t>
            </w:r>
            <w:r>
              <w:rPr>
                <w:rFonts w:ascii="Calibri" w:hAnsi="Calibri" w:eastAsia="Calibri"/>
                <w:b/>
                <w:sz w:val="19"/>
              </w:rPr>
              <w:t>moderada a fuertemente</w:t>
            </w:r>
            <w:r>
              <w:rPr>
                <w:rFonts w:ascii="Calibri" w:hAnsi="Calibri" w:eastAsia="Calibri"/>
                <w:sz w:val="19"/>
              </w:rPr>
              <w:t xml:space="preserve"> con conocer las tareas reales, saber aplicar lo aprendido y haber comprobado si el trabajo calza (correlaciones de 0,47 a 0,53). Estos factores juntos explican cerca del </w:t>
            </w:r>
            <w:r>
              <w:rPr>
                <w:rFonts w:ascii="Calibri" w:hAnsi="Calibri" w:eastAsia="Calibri"/>
                <w:b/>
                <w:sz w:val="19"/>
              </w:rPr>
              <w:t>49 %</w:t>
            </w:r>
            <w:r>
              <w:rPr>
                <w:rFonts w:ascii="Calibri" w:hAnsi="Calibri" w:eastAsia="Calibri"/>
                <w:sz w:val="19"/>
              </w:rPr>
              <w:t xml:space="preserve"> de las diferencias. </w:t>
            </w:r>
            <w:r>
              <w:rPr>
                <w:rFonts w:ascii="Calibri" w:hAnsi="Calibri" w:eastAsia="Calibri"/>
                <w:b/>
                <w:sz w:val="19"/>
              </w:rPr>
              <w:t>Haber tenido práctica previa deja de importar</w:t>
            </w:r>
            <w:r>
              <w:rPr>
                <w:rFonts w:ascii="Calibri" w:hAnsi="Calibri" w:eastAsia="Calibri"/>
                <w:sz w:val="19"/>
              </w:rPr>
              <w:t xml:space="preserve"> cuando se consideran esos factores.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Más que «haber tenido una práctica», parece contar </w:t>
            </w:r>
            <w:r>
              <w:rPr>
                <w:rFonts w:ascii="Calibri" w:hAnsi="Calibri" w:eastAsia="Calibri"/>
                <w:b/>
                <w:sz w:val="19"/>
              </w:rPr>
              <w:t>qué se aprendió o vio en ella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Dos personas que trabajaron un verano: la que preguntó, observó y probó tareas sale más segura que la que solo cumplió horario.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Si esto se confirma, actividades breves y bien diseñadas que muestren el trabajo real podrían dar parte del beneficio a todos, sin esperar la práctica completa.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4C8BD6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(es una asociación; no prueba causa).</w:t>
            </w:r>
          </w:p>
        </w:tc>
      </w:tr>
    </w:tbl>
    <w:p>
      <w:pPr>
        <w:spacing w:after="80"/>
      </w:pPr>
    </w:p>
    <w:p>
      <w:pPr>
        <w:pStyle w:val="Heading2"/>
      </w:pPr>
      <w:r>
        <w:t>Ficha 10 · Lo que cuentan con sus propias palabras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5261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abi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26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Temas del aprendizaje más valioso.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De 142 respuestas sobre el aprendizaje más valioso, el tema más repetido es </w:t>
            </w:r>
            <w:r>
              <w:rPr>
                <w:rFonts w:ascii="Calibri" w:hAnsi="Calibri" w:eastAsia="Calibri"/>
                <w:b/>
                <w:sz w:val="19"/>
              </w:rPr>
              <w:t>habilidades blandas</w:t>
            </w:r>
            <w:r>
              <w:rPr>
                <w:rFonts w:ascii="Calibri" w:hAnsi="Calibri" w:eastAsia="Calibri"/>
                <w:sz w:val="19"/>
              </w:rPr>
              <w:t xml:space="preserve"> (32): trabajo en equipo, comunicación, responsabilidad. 15 personas dijeron </w:t>
            </w:r>
            <w:r>
              <w:rPr>
                <w:rFonts w:ascii="Calibri" w:hAnsi="Calibri" w:eastAsia="Calibri"/>
                <w:b/>
                <w:sz w:val="19"/>
              </w:rPr>
              <w:t>no tener un aprendizaje claro</w:t>
            </w:r>
            <w:r>
              <w:rPr>
                <w:rFonts w:ascii="Calibri" w:hAnsi="Calibri" w:eastAsia="Calibri"/>
                <w:sz w:val="19"/>
              </w:rPr>
              <w:t xml:space="preserve"> y 13 de ellas no tienen práctica previa.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Valoran sobre todo lo humano del trabajo; y quien aún no ha tenido contacto con el trabajo real siente que </w:t>
            </w:r>
            <w:r>
              <w:rPr>
                <w:rFonts w:ascii="Calibri" w:hAnsi="Calibri" w:eastAsia="Calibri"/>
                <w:b/>
                <w:sz w:val="19"/>
              </w:rPr>
              <w:t>no tiene experiencia que contar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la diferencia entre leer sobre cocinar y haber cocinado una vez: quien ya lo hizo tiene una anécdota que contar.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Todo estudiante debería tener, antes de la práctica, al menos una vivencia concreta de trabajo real sobre la cual reflexionar.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4C8BD6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Media (clasificación temática preliminar).</w:t>
            </w:r>
          </w:p>
        </w:tc>
      </w:tr>
    </w:tbl>
    <w:p>
      <w:pPr>
        <w:spacing w:after="80"/>
      </w:pPr>
    </w:p>
    <w:p>
      <w:pPr>
        <w:pStyle w:val="Heading2"/>
      </w:pPr>
      <w:r>
        <w:t>Ficha 11 · El apoyo que piden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552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_abi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52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Temas del apoyo solicitado.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De 136 respuestas: lo más pedido son </w:t>
            </w:r>
            <w:r>
              <w:rPr>
                <w:rFonts w:ascii="Calibri" w:hAnsi="Calibri" w:eastAsia="Calibri"/>
                <w:b/>
                <w:sz w:val="19"/>
              </w:rPr>
              <w:t>simulaciones y práctica aplicada</w:t>
            </w:r>
            <w:r>
              <w:rPr>
                <w:rFonts w:ascii="Calibri" w:hAnsi="Calibri" w:eastAsia="Calibri"/>
                <w:sz w:val="19"/>
              </w:rPr>
              <w:t xml:space="preserve"> (31), </w:t>
            </w:r>
            <w:r>
              <w:rPr>
                <w:rFonts w:ascii="Calibri" w:hAnsi="Calibri" w:eastAsia="Calibri"/>
                <w:b/>
                <w:sz w:val="19"/>
              </w:rPr>
              <w:t>comunicación y oratoria</w:t>
            </w:r>
            <w:r>
              <w:rPr>
                <w:rFonts w:ascii="Calibri" w:hAnsi="Calibri" w:eastAsia="Calibri"/>
                <w:sz w:val="19"/>
              </w:rPr>
              <w:t xml:space="preserve"> (22), </w:t>
            </w:r>
            <w:r>
              <w:rPr>
                <w:rFonts w:ascii="Calibri" w:hAnsi="Calibri" w:eastAsia="Calibri"/>
                <w:b/>
                <w:sz w:val="19"/>
              </w:rPr>
              <w:t>inglés</w:t>
            </w:r>
            <w:r>
              <w:rPr>
                <w:rFonts w:ascii="Calibri" w:hAnsi="Calibri" w:eastAsia="Calibri"/>
                <w:sz w:val="19"/>
              </w:rPr>
              <w:t xml:space="preserve"> (20), </w:t>
            </w:r>
            <w:r>
              <w:rPr>
                <w:rFonts w:ascii="Calibri" w:hAnsi="Calibri" w:eastAsia="Calibri"/>
                <w:b/>
                <w:sz w:val="19"/>
              </w:rPr>
              <w:t>preparación para la práctica y el empleo</w:t>
            </w:r>
            <w:r>
              <w:rPr>
                <w:rFonts w:ascii="Calibri" w:hAnsi="Calibri" w:eastAsia="Calibri"/>
                <w:sz w:val="19"/>
              </w:rPr>
              <w:t xml:space="preserve"> (19), </w:t>
            </w:r>
            <w:r>
              <w:rPr>
                <w:rFonts w:ascii="Calibri" w:hAnsi="Calibri" w:eastAsia="Calibri"/>
                <w:b/>
                <w:sz w:val="19"/>
              </w:rPr>
              <w:t>software como ERP y Excel</w:t>
            </w:r>
            <w:r>
              <w:rPr>
                <w:rFonts w:ascii="Calibri" w:hAnsi="Calibri" w:eastAsia="Calibri"/>
                <w:sz w:val="19"/>
              </w:rPr>
              <w:t xml:space="preserve"> (19) y </w:t>
            </w:r>
            <w:r>
              <w:rPr>
                <w:rFonts w:ascii="Calibri" w:hAnsi="Calibri" w:eastAsia="Calibri"/>
                <w:b/>
                <w:sz w:val="19"/>
              </w:rPr>
              <w:t>salidas a terreno</w:t>
            </w:r>
            <w:r>
              <w:rPr>
                <w:rFonts w:ascii="Calibri" w:hAnsi="Calibri" w:eastAsia="Calibri"/>
                <w:sz w:val="19"/>
              </w:rPr>
              <w:t xml:space="preserve"> (16).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Piden </w:t>
            </w:r>
            <w:r>
              <w:rPr>
                <w:rFonts w:ascii="Calibri" w:hAnsi="Calibri" w:eastAsia="Calibri"/>
                <w:b/>
                <w:sz w:val="19"/>
              </w:rPr>
              <w:t>práctica antes de la práctica</w:t>
            </w:r>
            <w:r>
              <w:rPr>
                <w:rFonts w:ascii="Calibri" w:hAnsi="Calibri" w:eastAsia="Calibri"/>
                <w:sz w:val="19"/>
              </w:rPr>
              <w:t>: ensayar, ver y usar herramientas reales.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pedir un ensayo general antes del estreno de la obra.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una lista de actividades concretas y bien definidas para diseñar el programa de apoyo (ver Manual de propuestas de mejora).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4C8BD6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Alta para el tema; media para el conteo exacto.</w:t>
            </w:r>
          </w:p>
        </w:tc>
      </w:tr>
    </w:tbl>
    <w:p>
      <w:pPr>
        <w:spacing w:after="80"/>
      </w:pPr>
    </w:p>
    <w:p>
      <w:pPr>
        <w:pStyle w:val="Heading2"/>
      </w:pPr>
      <w:r>
        <w:t>Ficha 12 · Lo que todavía no sabemos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5914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0_diseno_futu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i/>
          <w:color w:val="8892A6"/>
          <w:sz w:val="17"/>
        </w:rPr>
        <w:t>Qué falta para medir el efecto del programa.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Lo que muestran los datos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Si el programa La Puerta </w:t>
            </w:r>
            <w:r>
              <w:rPr>
                <w:rFonts w:ascii="Calibri" w:hAnsi="Calibri" w:eastAsia="Calibri"/>
                <w:b/>
                <w:sz w:val="19"/>
              </w:rPr>
              <w:t>cambia</w:t>
            </w:r>
            <w:r>
              <w:rPr>
                <w:rFonts w:ascii="Calibri" w:hAnsi="Calibri" w:eastAsia="Calibri"/>
                <w:sz w:val="19"/>
              </w:rPr>
              <w:t xml:space="preserve"> algo. La base no trae el código del estudiante, el momento (antes/después), el grupo (La Puerta/comparación) ni la valoración del programa; tampoco las preguntas A03 y A04 del informe metodológico.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Dicho simple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 xml:space="preserve">Hoy sabemos </w:t>
            </w:r>
            <w:r>
              <w:rPr>
                <w:rFonts w:ascii="Calibri" w:hAnsi="Calibri" w:eastAsia="Calibri"/>
                <w:b/>
                <w:sz w:val="19"/>
              </w:rPr>
              <w:t>cómo están</w:t>
            </w:r>
            <w:r>
              <w:rPr>
                <w:rFonts w:ascii="Calibri" w:hAnsi="Calibri" w:eastAsia="Calibri"/>
                <w:sz w:val="19"/>
              </w:rPr>
              <w:t xml:space="preserve"> los estudiantes, no </w:t>
            </w:r>
            <w:r>
              <w:rPr>
                <w:rFonts w:ascii="Calibri" w:hAnsi="Calibri" w:eastAsia="Calibri"/>
                <w:b/>
                <w:sz w:val="19"/>
              </w:rPr>
              <w:t>si el programa los hizo mejorar</w:t>
            </w:r>
            <w:r>
              <w:rPr>
                <w:rFonts w:ascii="Calibri" w:hAnsi="Calibri" w:eastAsia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Un ejemplo de todos los días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Es como tener una foto: se ve cómo está la persona hoy, pero no se sabe si hace un año estaba peor o mejor.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b/>
                <w:color w:val="1B2A49"/>
                <w:sz w:val="18"/>
              </w:rPr>
              <w:t>Qué implica para la organización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 w:eastAsia="Calibri"/>
                <w:sz w:val="19"/>
              </w:rPr>
              <w:t>Antes de la próxima aplicación hay que registrar esos cuatro datos. Es barato y es lo que permitirá demostrar el impacto.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E4572E"/>
                <w:sz w:val="18"/>
              </w:rPr>
              <w:t>Cuánta confianza darle</w:t>
            </w:r>
          </w:p>
        </w:tc>
        <w:tc>
          <w:tcPr>
            <w:tcW w:type="dxa" w:w="703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sz w:val="19"/>
              </w:rPr>
              <w:t>No aplica: es una limitación.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4. Qué significa esto para cada persona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1814"/>
        <w:gridCol w:w="3798"/>
        <w:gridCol w:w="3798"/>
      </w:tblGrid>
      <w:tr>
        <w:trPr>
          <w:tblHeader w:val="true"/>
        </w:trPr>
        <w:tc>
          <w:tcPr>
            <w:tcW w:type="dxa" w:w="1814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Si usted es…</w:t>
            </w:r>
          </w:p>
        </w:tc>
        <w:tc>
          <w:tcPr>
            <w:tcW w:type="dxa" w:w="379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Lo que conviene que sepa</w:t>
            </w:r>
          </w:p>
        </w:tc>
        <w:tc>
          <w:tcPr>
            <w:tcW w:type="dxa" w:w="3798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Lo que puede hacer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Estudiante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La mayoría de sus compañeros se siente capaz, pero casi nadie tiene una red de contactos. No está solo/a con esa sensación.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Aprovechar charlas, visitas y ferias; hacer preguntas a docentes y profesionales; registrar lo que aprende en cada actividad con empresas.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Docente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Piden clases más aplicadas, con casos y herramientas reales. Aprecian los casos que cuentan docentes con experiencia en empresas.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Incluir casos reales, invitar a profesionales, usar simulaciones breves; explicar para qué sirve cada herramienta en el trabajo.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Jefatura de carrera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El 21 % está en semáforo rojo. El tramo de 3.º–4.º semestre merece atención. La práctica previa, por sí sola, no define quién necesita apoyo.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Identificar a quienes están en rojo; planificar salidas, mentorías y talleres; coordinar con empresas socias.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Dirección de Escuela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Hay una demanda amplia (83 %) de proyectos con empresas, y una brecha clara en redes. La evaluación del programa requiere corregir la medición.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Asegurar recursos para el piloto con medición antes/después; definir responsables; decidir el escalamiento solo con evidencia comparada.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18"/>
              </w:rPr>
              <w:t>Empresa socia / tutor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Los estudiantes llegan con buena actitud y quieren vincularse, pero conocen poco el día a día laboral.</w:t>
            </w:r>
          </w:p>
        </w:tc>
        <w:tc>
          <w:tcPr>
            <w:tcW w:type="dxa" w:w="379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Ofrecer visitas, charlas cortas, proyectos acotados y orientación en el primer día de práctica.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5. Preguntas frecuentes</w:t>
      </w:r>
    </w:p>
    <w:p>
      <w:pPr>
        <w:pStyle w:val="Heading3"/>
      </w:pPr>
      <w:r>
        <w:t>¿Qué tan confiables son estos resultados?</w:t>
      </w:r>
    </w:p>
    <w:p>
      <w:r>
        <w:rPr>
          <w:rFonts w:ascii="Calibri" w:hAnsi="Calibri" w:eastAsia="Calibri"/>
        </w:rPr>
        <w:t xml:space="preserve">La encuesta es consistente internamente (alfa de Cronbach = 0,93, que es alto) y tiene pocos datos faltantes (2 %). Pero son </w:t>
      </w:r>
      <w:r>
        <w:rPr>
          <w:rFonts w:ascii="Calibri" w:hAnsi="Calibri" w:eastAsia="Calibri"/>
          <w:b/>
        </w:rPr>
        <w:t>opiniones de una sola vez</w:t>
      </w:r>
      <w:r>
        <w:rPr>
          <w:rFonts w:ascii="Calibri" w:hAnsi="Calibri" w:eastAsia="Calibri"/>
        </w:rPr>
        <w:t xml:space="preserve">, de personas que </w:t>
      </w:r>
      <w:r>
        <w:rPr>
          <w:rFonts w:ascii="Calibri" w:hAnsi="Calibri" w:eastAsia="Calibri"/>
          <w:b/>
        </w:rPr>
        <w:t>eligieron responder</w:t>
      </w:r>
      <w:r>
        <w:rPr>
          <w:rFonts w:ascii="Calibri" w:hAnsi="Calibri" w:eastAsia="Calibri"/>
        </w:rPr>
        <w:t>. Son una buena fotografía, no un veredicto.</w:t>
      </w:r>
    </w:p>
    <w:p>
      <w:pPr>
        <w:pStyle w:val="Heading3"/>
      </w:pPr>
      <w:r>
        <w:t>¿Por qué no se puede decir si La Puerta funciona?</w:t>
      </w:r>
    </w:p>
    <w:p>
      <w:r>
        <w:rPr>
          <w:rFonts w:ascii="Calibri" w:hAnsi="Calibri" w:eastAsia="Calibri"/>
        </w:rPr>
        <w:t xml:space="preserve">Porque para saberlo hay que comparar a las mismas personas </w:t>
      </w:r>
      <w:r>
        <w:rPr>
          <w:rFonts w:ascii="Calibri" w:hAnsi="Calibri" w:eastAsia="Calibri"/>
          <w:b/>
        </w:rPr>
        <w:t>antes y después</w:t>
      </w:r>
      <w:r>
        <w:rPr>
          <w:rFonts w:ascii="Calibri" w:hAnsi="Calibri" w:eastAsia="Calibri"/>
        </w:rPr>
        <w:t>, y con un grupo parecido que no participó. En la base esos datos están vacíos. Es corregible.</w:t>
      </w:r>
    </w:p>
    <w:p>
      <w:pPr>
        <w:pStyle w:val="Heading3"/>
      </w:pPr>
      <w:r>
        <w:t>Si la diferencia con práctica previa es tan pequeña, ¿la práctica previa no sirve?</w:t>
      </w:r>
    </w:p>
    <w:p>
      <w:r>
        <w:rPr>
          <w:rFonts w:ascii="Calibri" w:hAnsi="Calibri" w:eastAsia="Calibri"/>
        </w:rPr>
        <w:t xml:space="preserve">Sí sirve, un poco: puntúan 0,17 puntos más. Lo que no se sostiene es que sea una diferencia enorme. Además, lo que parece pesar más es </w:t>
      </w:r>
      <w:r>
        <w:rPr>
          <w:rFonts w:ascii="Calibri" w:hAnsi="Calibri" w:eastAsia="Calibri"/>
          <w:b/>
        </w:rPr>
        <w:t>lo que se aprendió</w:t>
      </w:r>
      <w:r>
        <w:rPr>
          <w:rFonts w:ascii="Calibri" w:hAnsi="Calibri" w:eastAsia="Calibri"/>
        </w:rPr>
        <w:t xml:space="preserve"> en la práctica.</w:t>
      </w:r>
    </w:p>
    <w:p>
      <w:pPr>
        <w:pStyle w:val="Heading3"/>
      </w:pPr>
      <w:r>
        <w:t>¿Por qué algunas diferencias «se ven» pero no son «significativas»?</w:t>
      </w:r>
    </w:p>
    <w:p>
      <w:r>
        <w:rPr>
          <w:rFonts w:ascii="Calibri" w:hAnsi="Calibri" w:eastAsia="Calibri"/>
        </w:rPr>
        <w:t>Porque con grupos pequeños el azar puede producir diferencias aparentes. Para no confundirnos, se usan pruebas que dicen cuán probable es que sea casualidad, y se corrigen cuando se hacen muchas comparaciones.</w:t>
      </w:r>
    </w:p>
    <w:p>
      <w:pPr>
        <w:pStyle w:val="Heading3"/>
      </w:pPr>
      <w:r>
        <w:t>¿El 21 % en rojo son estudiantes «con problemas»?</w:t>
      </w:r>
    </w:p>
    <w:p>
      <w:r>
        <w:rPr>
          <w:rFonts w:ascii="Calibri" w:hAnsi="Calibri" w:eastAsia="Calibri"/>
        </w:rPr>
        <w:t xml:space="preserve">No. Es un grupo cuyo </w:t>
      </w:r>
      <w:r>
        <w:rPr>
          <w:rFonts w:ascii="Calibri" w:hAnsi="Calibri" w:eastAsia="Calibri"/>
          <w:b/>
        </w:rPr>
        <w:t>puntaje autopercibido</w:t>
      </w:r>
      <w:r>
        <w:rPr>
          <w:rFonts w:ascii="Calibri" w:hAnsi="Calibri" w:eastAsia="Calibri"/>
        </w:rPr>
        <w:t xml:space="preserve"> es bajo. Puede deberse a poca experiencia, nervios o simple modestia. Es una señal para acompañar, no una etiqueta.</w:t>
      </w:r>
    </w:p>
    <w:p>
      <w:pPr>
        <w:pStyle w:val="Heading3"/>
      </w:pPr>
      <w:r>
        <w:t>¿Se puede generalizar a toda Duoc UC?</w:t>
      </w:r>
    </w:p>
    <w:p>
      <w:r>
        <w:rPr>
          <w:rFonts w:ascii="Calibri" w:hAnsi="Calibri" w:eastAsia="Calibri"/>
        </w:rPr>
        <w:t>No. El 98 % de las respuestas es de la Escuela de Administración y Negocios y la participación fue voluntaria. Sirve para esta escuela y sede.</w:t>
      </w:r>
    </w:p>
    <w:p>
      <w:pPr>
        <w:pStyle w:val="Heading3"/>
      </w:pPr>
      <w:r>
        <w:t>¿Por qué «No sé / No aplica» no se cuenta?</w:t>
      </w:r>
    </w:p>
    <w:p>
      <w:r>
        <w:rPr>
          <w:rFonts w:ascii="Calibri" w:hAnsi="Calibri" w:eastAsia="Calibri"/>
        </w:rPr>
        <w:t>Porque no es una opinión sobre el tema. Fueron pocas (2 %) y no cambian los resultados.</w:t>
      </w:r>
    </w:p>
    <w:p>
      <w:pPr>
        <w:pStyle w:val="Heading3"/>
      </w:pPr>
      <w:r>
        <w:t>¿Qué hago si un resultado me parece raro?</w:t>
      </w:r>
    </w:p>
    <w:p>
      <w:r>
        <w:rPr>
          <w:rFonts w:ascii="Calibri" w:hAnsi="Calibri" w:eastAsia="Calibri"/>
        </w:rPr>
        <w:t>Revise la ficha y la advertencia de confianza. Si sigue dudando, pida la verificación: el análisis puede repetirse con el código del repositorio.</w:t>
      </w:r>
    </w:p>
    <w:p>
      <w:pPr>
        <w:pStyle w:val="Heading3"/>
      </w:pPr>
      <w:r>
        <w:t>¿Quién clasificó las respuestas abiertas?</w:t>
      </w:r>
    </w:p>
    <w:p>
      <w:r>
        <w:rPr>
          <w:rFonts w:ascii="Calibri" w:hAnsi="Calibri" w:eastAsia="Calibri"/>
        </w:rPr>
        <w:t>Una herramienta de IA, con revisión preliminar. Debe ser validada por una persona; hasta entonces, trate los conteos como aproximados.</w:t>
      </w:r>
    </w:p>
    <w:p>
      <w:pPr>
        <w:pStyle w:val="Heading3"/>
      </w:pPr>
      <w:r>
        <w:t>¿Cuándo deberíamos repetir la encuesta?</w:t>
      </w:r>
    </w:p>
    <w:p>
      <w:r>
        <w:rPr>
          <w:rFonts w:ascii="Calibri" w:hAnsi="Calibri" w:eastAsia="Calibri"/>
        </w:rPr>
        <w:t>Al inicio y al final del semestre en que se aplique La Puerta, con código único, momento y grupo, para medir cambios reales.</w:t>
      </w:r>
    </w:p>
    <w:p>
      <w:pPr>
        <w:pStyle w:val="Heading1"/>
        <w:pageBreakBefore/>
      </w:pPr>
      <w:r>
        <w:t>6. Glosario</w:t>
      </w:r>
    </w:p>
    <w:tbl>
      <w:tblPr>
        <w:tblW w:type="dxa" w:w="9412"/>
        <w:tblLayout w:type="fixed"/>
        <w:tblLook w:firstColumn="1" w:firstRow="1" w:lastColumn="0" w:lastRow="0" w:noHBand="0" w:noVBand="1" w:val="04A0"/>
        <w:jc w:val="center"/>
        <w:tblBorders>
          <w:top w:val="single" w:sz="4" w:color="D5DAE3"/>
          <w:left w:val="single" w:sz="4" w:color="D5DAE3"/>
          <w:bottom w:val="single" w:sz="4" w:color="D5DAE3"/>
          <w:right w:val="single" w:sz="4" w:color="D5DAE3"/>
          <w:insideH w:val="single" w:sz="4" w:color="D5DAE3"/>
          <w:insideV w:val="single" w:sz="4" w:color="D5DAE3"/>
        </w:tblBorders>
        <w:tblLayout w:type="fixed"/>
      </w:tblPr>
      <w:tblGrid>
        <w:gridCol w:w="2381"/>
        <w:gridCol w:w="7030"/>
      </w:tblGrid>
      <w:tr>
        <w:trPr>
          <w:tblHeader w:val="true"/>
        </w:trPr>
        <w:tc>
          <w:tcPr>
            <w:tcW w:type="dxa" w:w="2381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7030"/>
            <w:shd w:val="clear" w:color="auto" w:fill="1B2A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Qué significa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Alfa de Cronbach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Número entre 0 y 1 que indica si las afirmaciones de una encuesta «van en la misma dirección». Sobre 0,70 es aceptable.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Autoeficacia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Creer que uno es capaz de lograr una tarea. Se fortalece con experiencias de logro.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Autopercepción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Lo que una persona cree de sí misma. No es lo mismo que su desempeño observado.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Brecha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Distancia entre lo observado y lo esperado (por ejemplo, la meta de 70 %).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Correlación (rho, r)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Mide cuánto «van juntas» dos cosas, de −1 a +1. Cerca de 0 = casi nada; 0,3 = moderada; 0,5 = fuerte.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Dimensión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Grupo de afirmaciones que miden una misma idea (por ejemplo, redes).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Diferencia significativa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Diferencia que difícilmente se debe al azar. No significa «importante».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Efecto (tamaño del)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Qué tan grande es una diferencia, independientemente de cuántas personas se midieron.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Escala Likert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Escala de acuerdo/desacuerdo, aquí de 1 a 5.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Estudio transversal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Medición hecha una sola vez, como una fotografía.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Grupo de comparación (control)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Grupo parecido que no participa en la intervención y permite ver qué habría ocurrido sin ella.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Intervalo de confianza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Rango en el que probablemente está el valor real. Equivale al «más o menos».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Línea base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Medición inicial, contra la cual se compara después.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Muestra voluntaria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Grupo que respondió porque quiso; puede ser distinto de quienes no respondieron.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Percentil / mediana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La mediana es el valor central: la mitad está sobre ella y la mitad bajo ella.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Pretest / postest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Medición antes y después de una intervención.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Semáforo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Clasificación en verde, amarillo y rojo según puntajes.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Shock de transición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Dificultad inicial al pasar de estudiar a trabajar.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Valor p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Probabilidad de ver una diferencia así si en realidad no hubiera ninguna. Menor a 0,05 se suele considerar «significativa».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Variable</w:t>
            </w:r>
          </w:p>
        </w:tc>
        <w:tc>
          <w:tcPr>
            <w:tcW w:type="dxa" w:w="703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shd w:val="clear" w:color="auto" w:fill="F7F9FC"/>
          </w:tcPr>
          <w:p>
            <w:pPr>
              <w:spacing w:after="0"/>
            </w:pPr>
            <w:r>
              <w:rPr>
                <w:rFonts w:ascii="Calibri" w:hAnsi="Calibri" w:eastAsia="Calibri"/>
                <w:sz w:val="18"/>
              </w:rPr>
              <w:t>Cualquier característica que se mide (por ejemplo, año de estudio).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7. Antes de citar un resultado: lista de verificación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F2A900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FF7E0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1"/>
              </w:rPr>
              <w:t>Cinco preguntas antes de usar una cifra en un documento o una reunión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1. ¿Es una opinión o un hecho?</w:t>
            </w:r>
            <w:r>
              <w:rPr>
                <w:rFonts w:ascii="Calibri" w:hAnsi="Calibri" w:eastAsia="Calibri"/>
                <w:sz w:val="20"/>
              </w:rPr>
              <w:t xml:space="preserve"> Casi todo aquí son opiniones de los propios estudiantes.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2. ¿Es una diferencia pequeña o grande?</w:t>
            </w:r>
            <w:r>
              <w:rPr>
                <w:rFonts w:ascii="Calibri" w:hAnsi="Calibri" w:eastAsia="Calibri"/>
                <w:sz w:val="20"/>
              </w:rPr>
              <w:t xml:space="preserve"> Mire el tamaño, no solo si es «significativa».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3. ¿Con quiénes se compara?</w:t>
            </w:r>
            <w:r>
              <w:rPr>
                <w:rFonts w:ascii="Calibri" w:hAnsi="Calibri" w:eastAsia="Calibri"/>
                <w:sz w:val="20"/>
              </w:rPr>
              <w:t xml:space="preserve"> Evite comparar grupos muy distintos en tamaño (por ejemplo, 5 personas).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4. ¿Se está diciendo «causa» donde solo hay «relación»?</w:t>
            </w:r>
            <w:r>
              <w:rPr>
                <w:rFonts w:ascii="Calibri" w:hAnsi="Calibri" w:eastAsia="Calibri"/>
                <w:sz w:val="20"/>
              </w:rPr>
              <w:t xml:space="preserve"> Cuide el verbo: «se asocia con», no «provoca».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5. ¿Se cita la limitación?</w:t>
            </w:r>
            <w:r>
              <w:rPr>
                <w:rFonts w:ascii="Calibri" w:hAnsi="Calibri" w:eastAsia="Calibri"/>
                <w:sz w:val="20"/>
              </w:rPr>
              <w:t xml:space="preserve"> Una sola medición, muestra voluntaria, 98 % de una escuela.</w:t>
            </w:r>
          </w:p>
        </w:tc>
      </w:tr>
    </w:tbl>
    <w:p>
      <w:pPr>
        <w:spacing w:after="40"/>
      </w:pPr>
    </w:p>
    <w:p>
      <w:pPr>
        <w:pStyle w:val="Heading2"/>
      </w:pPr>
      <w:r>
        <w:t>Declaración sobre el uso de Inteligencia Artificial</w:t>
      </w:r>
    </w:p>
    <w:tbl>
      <w:tblPr>
        <w:tblW w:type="dxa" w:w="941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98"/>
        <w:gridCol w:w="9213"/>
      </w:tblGrid>
      <w:tr>
        <w:trPr>
          <w:cantSplit/>
        </w:trPr>
        <w:tc>
          <w:tcPr>
            <w:tcW w:type="dxa" w:w="198"/>
            <w:shd w:val="clear" w:color="auto" w:fill="F2A900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213"/>
            <w:shd w:val="clear" w:color="auto" w:fill="FFF7E0"/>
            <w:tcMar>
              <w:top w:w="120" w:type="dxa"/>
              <w:left w:w="20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2A900"/>
                <w:sz w:val="21"/>
              </w:rPr>
              <w:t>Este informe se elaboró con apoyo de Inteligencia Artificial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 xml:space="preserve">Se utilizó </w:t>
            </w:r>
            <w:r>
              <w:rPr>
                <w:rFonts w:ascii="Calibri" w:hAnsi="Calibri" w:eastAsia="Calibri"/>
                <w:b/>
                <w:sz w:val="20"/>
              </w:rPr>
              <w:t>Claude (Anthropic), modelo de IA generativa</w:t>
            </w:r>
            <w:r>
              <w:rPr>
                <w:rFonts w:ascii="Calibri" w:hAnsi="Calibri" w:eastAsia="Calibri"/>
                <w:sz w:val="20"/>
              </w:rPr>
              <w:t>, como herramienta de apoyo para: (1) limpiar y calcular los resultados de la base de datos con código reproducible; (2) traducir los resultados técnicos a lenguaje cotidiano, proponer ejemplos y organizar el manual; (3) redactar, organizar y diseñar los gráficos y diagramas; y (4) clasificar preliminarmente las respuestas abiertas por temas.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/>
                <w:sz w:val="20"/>
              </w:rPr>
              <w:t>La IA no reemplaza el juicio experto.</w:t>
            </w:r>
            <w:r>
              <w:rPr>
                <w:rFonts w:ascii="Calibri" w:hAnsi="Calibri" w:eastAsia="Calibri"/>
                <w:sz w:val="20"/>
              </w:rPr>
              <w:t xml:space="preserve"> La codificación temática automática es preliminar y debe ser validada por una persona (idealmente con doble codificación). Las interpretaciones, decisiones y recomendaciones deben ser revisadas y asumidas por el equipo responsable del Proyecto La Puerta antes de su difusión institucional.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sz w:val="20"/>
              </w:rPr>
              <w:t>No se incluyeron nombres, correos ni códigos de estudiantes. Las citas textuales son anónimas.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Bibliografía y referencias</w:t>
      </w:r>
    </w:p>
    <w:p>
      <w:r>
        <w:rPr>
          <w:rFonts w:ascii="Calibri" w:hAnsi="Calibri" w:eastAsia="Calibri"/>
          <w:color w:val="8892A6"/>
          <w:sz w:val="19"/>
        </w:rPr>
        <w:t xml:space="preserve">Las fuentes se ordenan alfabéticamente (formato APA 7).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8892A6"/>
          <w:sz w:val="19"/>
        </w:rPr>
        <w:t>no se verificaron en línea durante esta sesión</w:t>
      </w:r>
      <w:r>
        <w:rPr>
          <w:rFonts w:ascii="Calibri" w:hAnsi="Calibri" w:eastAsia="Calibri"/>
          <w:color w:val="8892A6"/>
          <w:sz w:val="19"/>
        </w:rPr>
        <w:t>: conviene confirmar volumen, páginas y DOI antes de una publicación formal.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Braun, V., &amp; Clarke, V. (2006). Using thematic analysis in psychology. </w:t>
      </w:r>
      <w:r>
        <w:rPr>
          <w:rFonts w:ascii="Calibri" w:hAnsi="Calibri"/>
          <w:i/>
          <w:sz w:val="19"/>
        </w:rPr>
        <w:t>Qualitative Research in Psychology, 3</w:t>
      </w:r>
      <w:r>
        <w:rPr>
          <w:rFonts w:ascii="Calibri" w:hAnsi="Calibri"/>
          <w:i w:val="0"/>
          <w:sz w:val="19"/>
        </w:rPr>
        <w:t>(2), 77–101.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19"/>
        </w:rPr>
        <w:t>Psychometrika, 16</w:t>
      </w:r>
      <w:r>
        <w:rPr>
          <w:rFonts w:ascii="Calibri" w:hAnsi="Calibri"/>
          <w:i w:val="0"/>
          <w:sz w:val="19"/>
        </w:rPr>
        <w:t>(3), 297–334.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19"/>
        </w:rPr>
        <w:t>Advances in Health Sciences Education, 15</w:t>
      </w:r>
      <w:r>
        <w:rPr>
          <w:rFonts w:ascii="Calibri" w:hAnsi="Calibri"/>
          <w:i w:val="0"/>
          <w:sz w:val="19"/>
        </w:rPr>
        <w:t>(5), 625–632.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19"/>
        </w:rPr>
        <w:t>Journal of Graduate Medical Education, 5</w:t>
      </w:r>
      <w:r>
        <w:rPr>
          <w:rFonts w:ascii="Calibri" w:hAnsi="Calibri"/>
          <w:i w:val="0"/>
          <w:sz w:val="19"/>
        </w:rPr>
        <w:t>(4), 541–542.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19"/>
        </w:rPr>
        <w:t>Education + Training, 59</w:t>
      </w:r>
      <w:r>
        <w:rPr>
          <w:rFonts w:ascii="Calibri" w:hAnsi="Calibri"/>
          <w:i w:val="0"/>
          <w:sz w:val="19"/>
        </w:rPr>
        <w:t>(4), 338–352.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Yorke, M. (2006). </w:t>
      </w:r>
      <w:r>
        <w:rPr>
          <w:rFonts w:ascii="Calibri" w:hAnsi="Calibri"/>
          <w:i/>
          <w:sz w:val="19"/>
        </w:rPr>
        <w:t>Employability in higher education: What it is – what it is not</w:t>
      </w:r>
      <w:r>
        <w:rPr>
          <w:rFonts w:ascii="Calibri" w:hAnsi="Calibri"/>
          <w:i w:val="0"/>
          <w:sz w:val="19"/>
        </w:rPr>
        <w:t>. Higher Education Academy.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Bandura, A. (1997). </w:t>
      </w:r>
      <w:r>
        <w:rPr>
          <w:rFonts w:ascii="Calibri" w:hAnsi="Calibri"/>
          <w:i/>
          <w:sz w:val="19"/>
        </w:rPr>
        <w:t>Self-efficacy: The exercise of control</w:t>
      </w:r>
      <w:r>
        <w:rPr>
          <w:rFonts w:ascii="Calibri" w:hAnsi="Calibri"/>
          <w:i w:val="0"/>
          <w:sz w:val="19"/>
        </w:rPr>
        <w:t>. W. H. Freeman.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Granovetter, M. S. (1973). The strength of weak ties. </w:t>
      </w:r>
      <w:r>
        <w:rPr>
          <w:rFonts w:ascii="Calibri" w:hAnsi="Calibri"/>
          <w:i/>
          <w:sz w:val="19"/>
        </w:rPr>
        <w:t>American Journal of Sociology, 78</w:t>
      </w:r>
      <w:r>
        <w:rPr>
          <w:rFonts w:ascii="Calibri" w:hAnsi="Calibri"/>
          <w:i w:val="0"/>
          <w:sz w:val="19"/>
        </w:rPr>
        <w:t>(6), 1360–1380.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Duoc UC, Escuela de Administración y Negocios, Sede San Bernardo (2026). </w:t>
      </w:r>
      <w:r>
        <w:rPr>
          <w:rFonts w:ascii="Calibri" w:hAnsi="Calibri"/>
          <w:i/>
          <w:sz w:val="19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19"/>
        </w:rPr>
        <w:t xml:space="preserve"> [documento interno].</w:t>
      </w:r>
    </w:p>
    <w:p>
      <w:pPr>
        <w:spacing w:after="80"/>
        <w:ind w:left="567" w:hanging="567"/>
      </w:pPr>
      <w:r>
        <w:rPr>
          <w:rFonts w:ascii="Calibri" w:hAnsi="Calibri"/>
          <w:i w:val="0"/>
          <w:sz w:val="19"/>
        </w:rPr>
        <w:t xml:space="preserve">Duoc UC (2026). </w:t>
      </w:r>
      <w:r>
        <w:rPr>
          <w:rFonts w:ascii="Calibri" w:hAnsi="Calibri"/>
          <w:i/>
          <w:sz w:val="19"/>
        </w:rPr>
        <w:t>Proyecto La Puerta: Base de datos y matriz de análisis (20261009_1658)</w:t>
      </w:r>
      <w:r>
        <w:rPr>
          <w:rFonts w:ascii="Calibri" w:hAnsi="Calibri"/>
          <w:i w:val="0"/>
          <w:sz w:val="19"/>
        </w:rPr>
        <w:t xml:space="preserve"> [base de datos interna, no publicada].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30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8892A6"/>
        <w:sz w:val="17"/>
      </w:rPr>
      <w:t xml:space="preserve">Proyecto La Puerta · Página </w:t>
    </w:r>
    <w:r>
      <w:rPr>
        <w:color w:val="8892A6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color w:val="8892A6"/>
        <w:sz w:val="17"/>
      </w:rPr>
      <w:t>Proyecto La Puerta · Manual explicativo de resultados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2A4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8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2A4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