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40" w:lineRule="auto" w:before="0" w:after="0"/>
        <w:jc w:val="left"/>
      </w:pPr>
      <w:r>
        <w:rPr>
          <w:rFonts w:ascii="Calibri" w:hAnsi="Calibri" w:eastAsia="Calibri"/>
          <w:color w:val="666666"/>
          <w:sz w:val="18"/>
        </w:rPr>
        <w:t>[Insertar logotipo oficial Duoc UC en esta esquina]</w:t>
      </w:r>
    </w:p>
    <w:p/>
    <w:p/>
    <w:p/>
    <w:p/>
    <w:p/>
    <w:p>
      <w:pPr>
        <w:keepNext w:val="0"/>
        <w:spacing w:line="276" w:lineRule="auto" w:before="0" w:after="200"/>
        <w:jc w:val="center"/>
        <w:pBdr>
          <w:bottom w:val="single" w:sz="18" w:space="8" w:color="FFB800"/>
        </w:pBdr>
      </w:pPr>
      <w:r>
        <w:rPr>
          <w:rFonts w:ascii="Calibri" w:hAnsi="Calibri"/>
          <w:b/>
          <w:color w:val="1A1A1A"/>
          <w:sz w:val="28"/>
        </w:rPr>
        <w:t>INFORME EJECUTIVO DE OPTIMIZACIÓN Y AUDITORÍA DE PROMPTS</w:t>
      </w:r>
    </w:p>
    <w:p/>
    <w:p/>
    <w:p/>
    <w:p/>
    <w:p/>
    <w:p/>
    <w:p/>
    <w:p>
      <w:pPr>
        <w:keepNext w:val="0"/>
        <w:spacing w:line="276" w:lineRule="auto" w:before="0" w:after="80"/>
        <w:jc w:val="center"/>
      </w:pPr>
      <w:r>
        <w:rPr>
          <w:rFonts w:ascii="Calibri" w:hAnsi="Calibri"/>
          <w:b/>
          <w:sz w:val="28"/>
        </w:rPr>
        <w:t xml:space="preserve">Autor: </w:t>
      </w:r>
      <w:r>
        <w:rPr>
          <w:rFonts w:ascii="Calibri" w:hAnsi="Calibri"/>
          <w:sz w:val="28"/>
        </w:rPr>
        <w:t>Juan Antonio Carrasco Navarrete</w:t>
      </w:r>
    </w:p>
    <w:p>
      <w:pPr>
        <w:keepNext w:val="0"/>
        <w:spacing w:line="276" w:lineRule="auto" w:before="0" w:after="80"/>
        <w:jc w:val="center"/>
      </w:pPr>
      <w:r>
        <w:rPr>
          <w:rFonts w:ascii="Calibri" w:hAnsi="Calibri"/>
          <w:b/>
          <w:sz w:val="28"/>
        </w:rPr>
        <w:t xml:space="preserve">Unidad: </w:t>
      </w:r>
      <w:r>
        <w:rPr>
          <w:rFonts w:ascii="Calibri" w:hAnsi="Calibri"/>
          <w:sz w:val="28"/>
        </w:rPr>
        <w:t>Escuela de Administración y Negocios, Sede San Bernardo</w:t>
      </w:r>
    </w:p>
    <w:p>
      <w:pPr>
        <w:keepNext w:val="0"/>
        <w:spacing w:line="276" w:lineRule="auto" w:before="0" w:after="80"/>
        <w:jc w:val="center"/>
      </w:pPr>
      <w:r>
        <w:rPr>
          <w:rFonts w:ascii="Calibri" w:hAnsi="Calibri"/>
          <w:b/>
          <w:sz w:val="28"/>
        </w:rPr>
        <w:t xml:space="preserve">Proyecto: </w:t>
      </w:r>
      <w:r>
        <w:rPr>
          <w:rFonts w:ascii="Calibri" w:hAnsi="Calibri"/>
          <w:sz w:val="28"/>
        </w:rPr>
        <w:t>Ingeniería de prompts para diseño instruccional y auditoría de IA</w:t>
      </w:r>
    </w:p>
    <w:p>
      <w:pPr>
        <w:keepNext w:val="0"/>
        <w:spacing w:line="276" w:lineRule="auto" w:before="0" w:after="80"/>
        <w:jc w:val="center"/>
      </w:pPr>
      <w:r>
        <w:rPr>
          <w:rFonts w:ascii="Calibri" w:hAnsi="Calibri"/>
          <w:b/>
          <w:sz w:val="28"/>
        </w:rPr>
        <w:t xml:space="preserve">Fecha: </w:t>
      </w:r>
      <w:r>
        <w:rPr>
          <w:rFonts w:ascii="Calibri" w:hAnsi="Calibri"/>
          <w:sz w:val="28"/>
        </w:rPr>
        <w:t>19 de octubre de 2026</w:t>
      </w:r>
    </w:p>
    <w:p>
      <w:pPr>
        <w:keepNext w:val="0"/>
        <w:spacing w:line="276" w:lineRule="auto" w:before="0" w:after="80"/>
        <w:jc w:val="center"/>
      </w:pPr>
      <w:r>
        <w:rPr>
          <w:rFonts w:ascii="Calibri" w:hAnsi="Calibri"/>
          <w:b/>
          <w:sz w:val="28"/>
        </w:rPr>
        <w:t xml:space="preserve">Producto: </w:t>
      </w:r>
      <w:r>
        <w:rPr>
          <w:rFonts w:ascii="Calibri" w:hAnsi="Calibri"/>
          <w:sz w:val="28"/>
        </w:rPr>
        <w:t>01 · Informe ejecutivo</w:t>
      </w:r>
    </w:p>
    <w:p>
      <w:r>
        <w:br w:type="page"/>
      </w:r>
    </w:p>
    <w:p>
      <w:pPr>
        <w:keepNext w:val="0"/>
        <w:spacing w:line="276" w:lineRule="auto" w:before="0" w:after="24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sz w:val="30"/>
        </w:rPr>
        <w:t>Índice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1. Introducción</w:t>
        <w:tab/>
        <w:t>3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2. Desarrollo</w:t>
        <w:tab/>
        <w:t>3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2.1 Hallazgos principales</w:t>
        <w:tab/>
        <w:t>3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2.2 Principales mejoras implementadas</w:t>
        <w:tab/>
        <w:t>3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2.3 Resultados</w:t>
        <w:tab/>
        <w:t>4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2.4 Riesgos y limitaciones</w:t>
        <w:tab/>
        <w:t>4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2.5 Recomendaciones y próximos pasos</w:t>
        <w:tab/>
        <w:t>5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3. Conclusión</w:t>
        <w:tab/>
        <w:t>5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Referencias</w:t>
        <w:tab/>
        <w:t>5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Fuentes académicas</w:t>
        <w:tab/>
        <w:t>5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Norma de citación</w:t>
        <w:tab/>
        <w:t>7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Fuentes normativas</w:t>
        <w:tab/>
        <w:t>7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Fuentes institucionales</w:t>
        <w:tab/>
        <w:t>7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Material analizado</w:t>
        <w:tab/>
        <w:t>7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Fuentes técnicas y herramientas de IA</w:t>
        <w:tab/>
        <w:t>7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Anexo A. Declaración de uso de IA</w:t>
        <w:tab/>
        <w:t>7</w:t>
      </w:r>
    </w:p>
    <w:p>
      <w:r>
        <w:br w:type="page"/>
      </w:r>
    </w:p>
    <w:p/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1. Introducción</w:t>
      </w:r>
    </w:p>
    <w:p>
      <w:pPr>
        <w:keepNext w:val="0"/>
        <w:spacing w:line="360" w:lineRule="auto" w:before="0" w:after="120"/>
        <w:jc w:val="both"/>
      </w:pPr>
      <w:r>
        <w:rPr>
          <w:rFonts w:ascii="Calibri" w:hAnsi="Calibri" w:eastAsia="Calibri"/>
          <w:sz w:val="22"/>
        </w:rPr>
        <w:t>Este informe resume el análisis, la optimización y la auditoría de dos instrucciones de sistema (prompts) del autor: el «Arquitecto Pedagógico de Casos Situados» (P1, versión 2.0), orientado a co-diseñar casos de estudio para educación técnico-profesional, y el «Prompt maestro de auditoría científica de resultados de IA» (P2), orientado a contrastar dos informes generados por IA sobre un mismo conjunto de datos.</w:t>
      </w:r>
    </w:p>
    <w:p>
      <w:pPr>
        <w:keepNext w:val="0"/>
        <w:spacing w:line="360" w:lineRule="auto" w:before="0" w:after="120"/>
        <w:jc w:val="both"/>
      </w:pPr>
      <w:r>
        <w:rPr>
          <w:rFonts w:ascii="Calibri" w:hAnsi="Calibri" w:eastAsia="Calibri"/>
          <w:sz w:val="22"/>
        </w:rPr>
        <w:t>El objetivo fue elevar ambos prompts a una versión 3.0 más precisa, verificable y reutilizable, alineada con los estándares de presentación de Duoc UC, con citación APA 7.ª edición y con declaración explícita del uso de IA. El informe se organiza en hallazgos, mejoras, resultados, riesgos y recomendaciones.</w:t>
      </w: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2. Desarrollo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2.1 Hallazgos principales</w:t>
      </w:r>
    </w:p>
    <w:p>
      <w:pPr>
        <w:keepNext w:val="0"/>
        <w:spacing w:line="360" w:lineRule="auto" w:before="0" w:after="120"/>
        <w:jc w:val="both"/>
      </w:pPr>
      <w:r>
        <w:rPr>
          <w:rFonts w:ascii="Calibri" w:hAnsi="Calibri" w:eastAsia="Calibri"/>
          <w:sz w:val="22"/>
        </w:rPr>
        <w:t xml:space="preserve">Se identificaron </w:t>
      </w:r>
      <w:r>
        <w:rPr>
          <w:rFonts w:ascii="Calibri" w:hAnsi="Calibri" w:eastAsia="Calibri"/>
          <w:b/>
          <w:sz w:val="22"/>
        </w:rPr>
        <w:t>41 oportunidades de mejora</w:t>
      </w:r>
      <w:r>
        <w:rPr>
          <w:rFonts w:ascii="Calibri" w:hAnsi="Calibri" w:eastAsia="Calibri"/>
          <w:sz w:val="22"/>
        </w:rPr>
        <w:t xml:space="preserve"> (19 en P1 y 22 en P2), clasificadas como 2 críticas, 24 mayores y 15 menores. Ambos prompts tenían una arquitectura sólida; las brechas se concentraron en la verificabilidad, la trazabilidad y el control del flujo.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P1:</w:t>
      </w:r>
      <w:r>
        <w:rPr>
          <w:rFonts w:ascii="Calibri" w:hAnsi="Calibri" w:eastAsia="Calibri"/>
          <w:sz w:val="22"/>
        </w:rPr>
        <w:t xml:space="preserve"> contradicción de orden entre fases (A4 ordenado en la Fase 3 pero definido en la Fase 4); rúbrica diseñada después del caso; ausencia de conversión a nota 1,0–7,0; compuertas ambiguas; sin verificación aritmética ni regla ante instrucciones incrustadas en el adjunto.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P2 (críticos):</w:t>
      </w:r>
      <w:r>
        <w:rPr>
          <w:rFonts w:ascii="Calibri" w:hAnsi="Calibri" w:eastAsia="Calibri"/>
          <w:sz w:val="22"/>
        </w:rPr>
        <w:t xml:space="preserve"> la comparación A contra B puede tratar la coincidencia como validez, y no prevé cómo operar si no se entregan los datos crudos. Además, la puntuación 1–10 carecía de anclas y los semáforos de regla de derivación.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Ambos:</w:t>
      </w:r>
      <w:r>
        <w:rPr>
          <w:rFonts w:ascii="Calibri" w:hAnsi="Calibri" w:eastAsia="Calibri"/>
          <w:sz w:val="22"/>
        </w:rPr>
        <w:t xml:space="preserve"> sin formato Duoc UC, sin declaración de uso de IA, sin tratamiento de datos personales y sin protocolo de validación empírica.</w:t>
      </w:r>
    </w:p>
    <w:p>
      <w:pPr>
        <w:keepNext w:val="0"/>
        <w:spacing w:line="360" w:lineRule="auto" w:before="0" w:after="0"/>
        <w:jc w:val="both"/>
      </w:pP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2.2 Principales mejoras implementadas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28"/>
        <w:gridCol w:w="3816"/>
        <w:gridCol w:w="3816"/>
      </w:tblGrid>
      <w:tr>
        <w:trPr>
          <w:tblHeader w:val="true"/>
        </w:trPr>
        <w:tc>
          <w:tcPr>
            <w:tcW w:type="dxa" w:w="1728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Mejora</w:t>
            </w:r>
          </w:p>
        </w:tc>
        <w:tc>
          <w:tcPr>
            <w:tcW w:type="dxa" w:w="3816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P1 v3.0</w:t>
            </w:r>
          </w:p>
        </w:tc>
        <w:tc>
          <w:tcPr>
            <w:tcW w:type="dxa" w:w="3816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P2 v3.0</w:t>
            </w:r>
          </w:p>
        </w:tc>
      </w:tr>
      <w:tr>
        <w:trPr>
          <w:cantSplit w:val="true"/>
        </w:trPr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Control de flujo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Compuertas G1–G4 con checklist; umbral de 8 páginas para dividir la entrega.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Pasos 0–9 con confirmación solo ante [BRECHA] crítica; entrega por bloques.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Verificabilidad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Verificación aritmética obligatoria; trazabilidad ampliada a 9 columnas.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Línea base independiente, recálculo con datos, regla de coincidencia ≠ validez.</w:t>
            </w:r>
          </w:p>
        </w:tc>
      </w:tr>
      <w:tr>
        <w:trPr>
          <w:cantSplit w:val="true"/>
        </w:trPr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Evaluación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Rúbrica diseñada en Fase 2; puntajes y conversión a nota 1,0–7,0.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Escala 1–5 con anclas, 8 criterios ponderados, doble orden A-B/B-A.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Robustez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Precedencia de instrucciones; adjunto tratado como datos; casos ficticios.</w:t>
            </w:r>
          </w:p>
        </w:tc>
        <w:tc>
          <w:tcPr>
            <w:tcW w:type="dxa" w:w="381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Informes y datos tratados como material; declaración de conflicto de interés.</w:t>
            </w:r>
          </w:p>
        </w:tc>
      </w:tr>
      <w:tr>
        <w:trPr>
          <w:cantSplit w:val="true"/>
        </w:trPr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Institucional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Formato Duoc UC, APA 7, declaración de IA, nota de uso de IA para estudiantes.</w:t>
            </w:r>
          </w:p>
        </w:tc>
        <w:tc>
          <w:tcPr>
            <w:tcW w:type="dxa" w:w="381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Formato Duoc UC, APA 7, anexo de trazabilidad y declaración de IA.</w:t>
            </w:r>
          </w:p>
        </w:tc>
      </w:tr>
    </w:tbl>
    <w:p>
      <w:pPr>
        <w:keepNext/>
        <w:spacing w:line="276" w:lineRule="auto" w:before="120" w:after="60"/>
        <w:jc w:val="left"/>
      </w:pPr>
      <w:r>
        <w:rPr>
          <w:rFonts w:ascii="Calibri" w:hAnsi="Calibri" w:eastAsia="Calibri"/>
          <w:b/>
          <w:color w:val="666666"/>
          <w:sz w:val="20"/>
        </w:rPr>
        <w:t>Fuente: elaboración propia.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2.3 Resultados</w:t>
      </w:r>
    </w:p>
    <w:p>
      <w:pPr>
        <w:keepNext w:val="0"/>
        <w:spacing w:line="360" w:lineRule="auto" w:before="0" w:after="120"/>
        <w:jc w:val="both"/>
      </w:pPr>
      <w:r>
        <w:rPr>
          <w:rFonts w:ascii="Calibri" w:hAnsi="Calibri" w:eastAsia="Calibri"/>
          <w:sz w:val="22"/>
        </w:rPr>
        <w:t>En una autoevaluación con ocho criterios de calidad de prompts (escala 1–5), P1 pasó de 3,1 a 4,6 y P2 de 2,0 a 4,4. La auditoría documental automatizada superó 21 de 21 comprobaciones estructurales (balance de bloques, variables declaradas, pesos que suman 100 %, fórmula de nota, referencias cruzadas).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32"/>
        <w:gridCol w:w="1296"/>
        <w:gridCol w:w="1296"/>
        <w:gridCol w:w="1368"/>
        <w:gridCol w:w="1368"/>
      </w:tblGrid>
      <w:tr>
        <w:trPr>
          <w:tblHeader w:val="true"/>
        </w:trPr>
        <w:tc>
          <w:tcPr>
            <w:tcW w:type="dxa" w:w="4032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Criterio (escala 1–5)</w:t>
            </w:r>
          </w:p>
        </w:tc>
        <w:tc>
          <w:tcPr>
            <w:tcW w:type="dxa" w:w="1296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P1 original</w:t>
            </w:r>
          </w:p>
        </w:tc>
        <w:tc>
          <w:tcPr>
            <w:tcW w:type="dxa" w:w="1296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P1 v3.0</w:t>
            </w:r>
          </w:p>
        </w:tc>
        <w:tc>
          <w:tcPr>
            <w:tcW w:type="dxa" w:w="1368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P2 original</w:t>
            </w:r>
          </w:p>
        </w:tc>
        <w:tc>
          <w:tcPr>
            <w:tcW w:type="dxa" w:w="1368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P2 v3.0</w:t>
            </w:r>
          </w:p>
        </w:tc>
      </w:tr>
      <w:tr>
        <w:trPr>
          <w:cantSplit w:val="true"/>
        </w:trPr>
        <w:tc>
          <w:tcPr>
            <w:tcW w:type="dxa" w:w="403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Claridad de rol y objetivo</w:t>
            </w:r>
          </w:p>
        </w:tc>
        <w:tc>
          <w:tcPr>
            <w:tcW w:type="dxa" w:w="129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4</w:t>
            </w:r>
          </w:p>
        </w:tc>
        <w:tc>
          <w:tcPr>
            <w:tcW w:type="dxa" w:w="129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5</w:t>
            </w:r>
          </w:p>
        </w:tc>
        <w:tc>
          <w:tcPr>
            <w:tcW w:type="dxa" w:w="13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3</w:t>
            </w:r>
          </w:p>
        </w:tc>
        <w:tc>
          <w:tcPr>
            <w:tcW w:type="dxa" w:w="13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403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Completitud de entradas</w:t>
            </w:r>
          </w:p>
        </w:tc>
        <w:tc>
          <w:tcPr>
            <w:tcW w:type="dxa" w:w="129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3</w:t>
            </w:r>
          </w:p>
        </w:tc>
        <w:tc>
          <w:tcPr>
            <w:tcW w:type="dxa" w:w="129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5</w:t>
            </w:r>
          </w:p>
        </w:tc>
        <w:tc>
          <w:tcPr>
            <w:tcW w:type="dxa" w:w="13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1</w:t>
            </w:r>
          </w:p>
        </w:tc>
        <w:tc>
          <w:tcPr>
            <w:tcW w:type="dxa" w:w="13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403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Criterios de calidad explícitos</w:t>
            </w:r>
          </w:p>
        </w:tc>
        <w:tc>
          <w:tcPr>
            <w:tcW w:type="dxa" w:w="129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4</w:t>
            </w:r>
          </w:p>
        </w:tc>
        <w:tc>
          <w:tcPr>
            <w:tcW w:type="dxa" w:w="129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5</w:t>
            </w:r>
          </w:p>
        </w:tc>
        <w:tc>
          <w:tcPr>
            <w:tcW w:type="dxa" w:w="13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3</w:t>
            </w:r>
          </w:p>
        </w:tc>
        <w:tc>
          <w:tcPr>
            <w:tcW w:type="dxa" w:w="13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4</w:t>
            </w:r>
          </w:p>
        </w:tc>
      </w:tr>
      <w:tr>
        <w:trPr>
          <w:cantSplit w:val="true"/>
        </w:trPr>
        <w:tc>
          <w:tcPr>
            <w:tcW w:type="dxa" w:w="403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Mecanismos de validación y control</w:t>
            </w:r>
          </w:p>
        </w:tc>
        <w:tc>
          <w:tcPr>
            <w:tcW w:type="dxa" w:w="129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3</w:t>
            </w:r>
          </w:p>
        </w:tc>
        <w:tc>
          <w:tcPr>
            <w:tcW w:type="dxa" w:w="129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5</w:t>
            </w:r>
          </w:p>
        </w:tc>
        <w:tc>
          <w:tcPr>
            <w:tcW w:type="dxa" w:w="13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2</w:t>
            </w:r>
          </w:p>
        </w:tc>
        <w:tc>
          <w:tcPr>
            <w:tcW w:type="dxa" w:w="13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4</w:t>
            </w:r>
          </w:p>
        </w:tc>
      </w:tr>
      <w:tr>
        <w:trPr>
          <w:cantSplit w:val="true"/>
        </w:trPr>
        <w:tc>
          <w:tcPr>
            <w:tcW w:type="dxa" w:w="403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Robustez (anti-alucinación y seguridad)</w:t>
            </w:r>
          </w:p>
        </w:tc>
        <w:tc>
          <w:tcPr>
            <w:tcW w:type="dxa" w:w="129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3</w:t>
            </w:r>
          </w:p>
        </w:tc>
        <w:tc>
          <w:tcPr>
            <w:tcW w:type="dxa" w:w="129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4</w:t>
            </w:r>
          </w:p>
        </w:tc>
        <w:tc>
          <w:tcPr>
            <w:tcW w:type="dxa" w:w="13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2</w:t>
            </w:r>
          </w:p>
        </w:tc>
        <w:tc>
          <w:tcPr>
            <w:tcW w:type="dxa" w:w="13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4</w:t>
            </w:r>
          </w:p>
        </w:tc>
      </w:tr>
      <w:tr>
        <w:trPr>
          <w:cantSplit w:val="true"/>
        </w:trPr>
        <w:tc>
          <w:tcPr>
            <w:tcW w:type="dxa" w:w="403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Alineación institucional (DUOC UC, APA)</w:t>
            </w:r>
          </w:p>
        </w:tc>
        <w:tc>
          <w:tcPr>
            <w:tcW w:type="dxa" w:w="129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2</w:t>
            </w:r>
          </w:p>
        </w:tc>
        <w:tc>
          <w:tcPr>
            <w:tcW w:type="dxa" w:w="129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5</w:t>
            </w:r>
          </w:p>
        </w:tc>
        <w:tc>
          <w:tcPr>
            <w:tcW w:type="dxa" w:w="13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1</w:t>
            </w:r>
          </w:p>
        </w:tc>
        <w:tc>
          <w:tcPr>
            <w:tcW w:type="dxa" w:w="13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403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Operacionalidad (anclas, reglas deterministas)</w:t>
            </w:r>
          </w:p>
        </w:tc>
        <w:tc>
          <w:tcPr>
            <w:tcW w:type="dxa" w:w="129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3</w:t>
            </w:r>
          </w:p>
        </w:tc>
        <w:tc>
          <w:tcPr>
            <w:tcW w:type="dxa" w:w="129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4</w:t>
            </w:r>
          </w:p>
        </w:tc>
        <w:tc>
          <w:tcPr>
            <w:tcW w:type="dxa" w:w="13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2</w:t>
            </w:r>
          </w:p>
        </w:tc>
        <w:tc>
          <w:tcPr>
            <w:tcW w:type="dxa" w:w="13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4</w:t>
            </w:r>
          </w:p>
        </w:tc>
      </w:tr>
      <w:tr>
        <w:trPr>
          <w:cantSplit w:val="true"/>
        </w:trPr>
        <w:tc>
          <w:tcPr>
            <w:tcW w:type="dxa" w:w="403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Reutilizabilidad y documentación</w:t>
            </w:r>
          </w:p>
        </w:tc>
        <w:tc>
          <w:tcPr>
            <w:tcW w:type="dxa" w:w="129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3</w:t>
            </w:r>
          </w:p>
        </w:tc>
        <w:tc>
          <w:tcPr>
            <w:tcW w:type="dxa" w:w="129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4</w:t>
            </w:r>
          </w:p>
        </w:tc>
        <w:tc>
          <w:tcPr>
            <w:tcW w:type="dxa" w:w="13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2</w:t>
            </w:r>
          </w:p>
        </w:tc>
        <w:tc>
          <w:tcPr>
            <w:tcW w:type="dxa" w:w="13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9"/>
              </w:rPr>
              <w:t>4</w:t>
            </w:r>
          </w:p>
        </w:tc>
      </w:tr>
      <w:tr>
        <w:trPr>
          <w:cantSplit w:val="true"/>
        </w:trPr>
        <w:tc>
          <w:tcPr>
            <w:tcW w:type="dxa" w:w="403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b/>
                <w:sz w:val="19"/>
              </w:rPr>
              <w:t>Promedio</w:t>
            </w:r>
          </w:p>
        </w:tc>
        <w:tc>
          <w:tcPr>
            <w:tcW w:type="dxa" w:w="129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b/>
                <w:sz w:val="19"/>
              </w:rPr>
              <w:t>3,1</w:t>
            </w:r>
          </w:p>
        </w:tc>
        <w:tc>
          <w:tcPr>
            <w:tcW w:type="dxa" w:w="129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b/>
                <w:sz w:val="19"/>
              </w:rPr>
              <w:t>4,6</w:t>
            </w:r>
          </w:p>
        </w:tc>
        <w:tc>
          <w:tcPr>
            <w:tcW w:type="dxa" w:w="13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b/>
                <w:sz w:val="19"/>
              </w:rPr>
              <w:t>2,0</w:t>
            </w:r>
          </w:p>
        </w:tc>
        <w:tc>
          <w:tcPr>
            <w:tcW w:type="dxa" w:w="13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b/>
                <w:sz w:val="19"/>
              </w:rPr>
              <w:t>4,4</w:t>
            </w:r>
          </w:p>
        </w:tc>
      </w:tr>
    </w:tbl>
    <w:p>
      <w:pPr>
        <w:keepNext/>
        <w:spacing w:line="276" w:lineRule="auto" w:before="120" w:after="60"/>
        <w:jc w:val="left"/>
      </w:pPr>
      <w:r>
        <w:rPr>
          <w:rFonts w:ascii="Calibri" w:hAnsi="Calibri" w:eastAsia="Calibri"/>
          <w:b/>
          <w:color w:val="666666"/>
          <w:sz w:val="20"/>
        </w:rPr>
        <w:t>Fuente: elaboración propia (autoevaluación asistida por IA; no es una medición empírica).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EEEE"/>
            <w:tcBorders>
              <w:top w:val="nil"/>
              <w:left w:val="single" w:sz="32" w:color="FFB800"/>
              <w:bottom w:val="nil"/>
              <w:right w:val="nil"/>
            </w:tcBorders>
          </w:tcPr>
          <w:p>
            <w:pPr>
              <w:keepNext w:val="0"/>
              <w:spacing w:line="276" w:lineRule="auto" w:before="60" w:after="60"/>
              <w:jc w:val="left"/>
            </w:pPr>
            <w:r>
              <w:rPr>
                <w:rFonts w:ascii="Calibri" w:hAnsi="Calibri"/>
                <w:b/>
                <w:sz w:val="21"/>
              </w:rPr>
              <w:t xml:space="preserve">Alcance de la evidencia. </w:t>
            </w:r>
            <w:r>
              <w:rPr>
                <w:rFonts w:ascii="Calibri" w:hAnsi="Calibri" w:eastAsia="Calibri"/>
                <w:sz w:val="21"/>
              </w:rPr>
              <w:t>Los puntajes son una autoevaluación asistida por IA con criterios explícitos y no equivalen a una medición empírica. No existe aún evidencia de desempeño con adjuntos o informes reales; el protocolo de piloto está incluido en cada prompt.</w:t>
            </w:r>
          </w:p>
        </w:tc>
      </w:tr>
    </w:tbl>
    <w:p>
      <w:pPr>
        <w:keepNext w:val="0"/>
        <w:spacing w:line="360" w:lineRule="auto" w:before="0" w:after="0"/>
        <w:jc w:val="both"/>
      </w:pP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2.4 Riesgos y limitaciones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Longitud:</w:t>
      </w:r>
      <w:r>
        <w:rPr>
          <w:rFonts w:ascii="Calibri" w:hAnsi="Calibri" w:eastAsia="Calibri"/>
          <w:sz w:val="22"/>
        </w:rPr>
        <w:t xml:space="preserve"> P1 pasó de 1763 a 2912 palabras y P2 de 729 a 2458 (≈ 5038 y 4483 tokens). Mayor control a costa de mayor consumo de contexto; en modelos de ventana pequeña conviene dividir el prompt.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Bibliografía no verificada en línea:</w:t>
      </w:r>
      <w:r>
        <w:rPr>
          <w:rFonts w:ascii="Calibri" w:hAnsi="Calibri" w:eastAsia="Calibri"/>
          <w:sz w:val="22"/>
        </w:rPr>
        <w:t xml:space="preserve"> durante la sesión no hubo acceso a los servicios de verificación de DOI/arXiv; todas las referencias se redactaron de memoria del modelo y deben comprobarse antes de uso formal (prioridad alta: Zheng, M. et al., 2024).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Normativa y formato institucional:</w:t>
      </w:r>
      <w:r>
        <w:rPr>
          <w:rFonts w:ascii="Calibri" w:hAnsi="Calibri" w:eastAsia="Calibri"/>
          <w:sz w:val="22"/>
        </w:rPr>
        <w:t xml:space="preserve"> el título exacto y la URL de la norma de Bibliotecas Duoc UC, así como la vigencia de la Ley 21.719, deben confirmarse. El logotipo oficial debe insertarse manualmente en las portadas.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b/>
          <w:sz w:val="22"/>
        </w:rPr>
        <w:t>Convención de nota:</w:t>
      </w:r>
      <w:r>
        <w:rPr>
          <w:rFonts w:ascii="Calibri" w:hAnsi="Calibri" w:eastAsia="Calibri"/>
          <w:sz w:val="22"/>
        </w:rPr>
        <w:t xml:space="preserve"> la fórmula lineal por tramos con 4,0 al 70 % debe validarse con la normativa de evaluación de la sede.</w:t>
      </w:r>
    </w:p>
    <w:p>
      <w:pPr>
        <w:keepNext w:val="0"/>
        <w:spacing w:line="360" w:lineRule="auto" w:before="0" w:after="0"/>
        <w:jc w:val="both"/>
      </w:pP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2.5 Recomendaciones y próximos pasos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4968"/>
        <w:gridCol w:w="2088"/>
        <w:gridCol w:w="1656"/>
      </w:tblGrid>
      <w:tr>
        <w:trPr>
          <w:tblHeader w:val="true"/>
        </w:trPr>
        <w:tc>
          <w:tcPr>
            <w:tcW w:type="dxa" w:w="648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N.º</w:t>
            </w:r>
          </w:p>
        </w:tc>
        <w:tc>
          <w:tcPr>
            <w:tcW w:type="dxa" w:w="4968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088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Responsable sugerido</w:t>
            </w:r>
          </w:p>
        </w:tc>
        <w:tc>
          <w:tcPr>
            <w:tcW w:type="dxa" w:w="1656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Plazo sugerido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49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Verificar cada referencia (DOI, arXiv, títulos) y completar URL normativas.</w:t>
            </w:r>
          </w:p>
        </w:tc>
        <w:tc>
          <w:tcPr>
            <w:tcW w:type="dxa" w:w="20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Autor</w:t>
            </w:r>
          </w:p>
        </w:tc>
        <w:tc>
          <w:tcPr>
            <w:tcW w:type="dxa" w:w="165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Antes de cualquier difusión</w:t>
            </w:r>
          </w:p>
        </w:tc>
      </w:tr>
      <w:tr>
        <w:trPr>
          <w:cantSplit w:val="true"/>
        </w:trPr>
        <w:tc>
          <w:tcPr>
            <w:tcW w:type="dxa" w:w="64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49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Ejecutar el piloto de P1 con tres adjuntos de distinta dificultad y dos revisores pares.</w:t>
            </w:r>
          </w:p>
        </w:tc>
        <w:tc>
          <w:tcPr>
            <w:tcW w:type="dxa" w:w="208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Autor y pares</w:t>
            </w:r>
          </w:p>
        </w:tc>
        <w:tc>
          <w:tcPr>
            <w:tcW w:type="dxa" w:w="165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2 semanas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49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Ejecutar el piloto de P2 con tres casos de errores sembrados y calcular sensibilidad y kappa.</w:t>
            </w:r>
          </w:p>
        </w:tc>
        <w:tc>
          <w:tcPr>
            <w:tcW w:type="dxa" w:w="20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Autor y analista de datos</w:t>
            </w:r>
          </w:p>
        </w:tc>
        <w:tc>
          <w:tcPr>
            <w:tcW w:type="dxa" w:w="165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2 semanas</w:t>
            </w:r>
          </w:p>
        </w:tc>
      </w:tr>
      <w:tr>
        <w:trPr>
          <w:cantSplit w:val="true"/>
        </w:trPr>
        <w:tc>
          <w:tcPr>
            <w:tcW w:type="dxa" w:w="64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496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Confirmar la conversión a nota y la plantilla de portada con la Escuela.</w:t>
            </w:r>
          </w:p>
        </w:tc>
        <w:tc>
          <w:tcPr>
            <w:tcW w:type="dxa" w:w="208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Autor y jefatura</w:t>
            </w:r>
          </w:p>
        </w:tc>
        <w:tc>
          <w:tcPr>
            <w:tcW w:type="dxa" w:w="1656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1 semana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5</w:t>
            </w:r>
          </w:p>
        </w:tc>
        <w:tc>
          <w:tcPr>
            <w:tcW w:type="dxa" w:w="496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Versionar los prompts (v3.1) con los resultados del piloto.</w:t>
            </w:r>
          </w:p>
        </w:tc>
        <w:tc>
          <w:tcPr>
            <w:tcW w:type="dxa" w:w="208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Autor</w:t>
            </w:r>
          </w:p>
        </w:tc>
        <w:tc>
          <w:tcPr>
            <w:tcW w:type="dxa" w:w="1656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8"/>
              </w:rPr>
              <w:t>Tras el piloto</w:t>
            </w:r>
          </w:p>
        </w:tc>
      </w:tr>
    </w:tbl>
    <w:p>
      <w:pPr>
        <w:keepNext/>
        <w:spacing w:line="276" w:lineRule="auto" w:before="120" w:after="60"/>
        <w:jc w:val="left"/>
      </w:pPr>
      <w:r>
        <w:rPr>
          <w:rFonts w:ascii="Calibri" w:hAnsi="Calibri" w:eastAsia="Calibri"/>
          <w:b/>
          <w:color w:val="666666"/>
          <w:sz w:val="20"/>
        </w:rPr>
        <w:t>Fuente: elaboración propia. Responsables y plazos son propuestas.</w:t>
      </w: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3. Conclusión</w:t>
      </w:r>
    </w:p>
    <w:p>
      <w:pPr>
        <w:keepNext w:val="0"/>
        <w:spacing w:line="360" w:lineRule="auto" w:before="0" w:after="120"/>
        <w:jc w:val="both"/>
      </w:pPr>
      <w:r>
        <w:rPr>
          <w:rFonts w:ascii="Calibri" w:hAnsi="Calibri" w:eastAsia="Calibri"/>
          <w:sz w:val="22"/>
        </w:rPr>
        <w:t>Las versiones 3.0 corrigen las brechas detectadas en cobertura, coherencia y verificabilidad, y cumplen el objetivo de entregar prompts documentados, trazables y alineados con el formato y las exigencias de declaración de IA de Duoc UC. La mejora es verificable en lo estructural y documental; su efecto sobre la calidad de los productos finales es una hipótesis que el protocolo de piloto permite contrastar. Hasta entonces, las referencias y la convención de nota requieren confirmación humana.</w:t>
      </w: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Referencias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Fuentes académicas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Anderson, L. W., y Krathwohl, D. R. (Eds.). (2001). </w:t>
      </w:r>
      <w:r>
        <w:rPr>
          <w:rFonts w:ascii="Calibri" w:hAnsi="Calibri" w:eastAsia="Calibri"/>
          <w:i/>
          <w:sz w:val="22"/>
        </w:rPr>
        <w:t>A taxonomy for learning, teaching, and assessing: A revision of Bloom's taxonomy of educational objectives</w:t>
      </w:r>
      <w:r>
        <w:rPr>
          <w:rFonts w:ascii="Calibri" w:hAnsi="Calibri" w:eastAsia="Calibri"/>
          <w:sz w:val="22"/>
        </w:rPr>
        <w:t>. Longman.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Biggs, J. (1996). Enhancing teaching through constructive alignment. </w:t>
      </w:r>
      <w:r>
        <w:rPr>
          <w:rFonts w:ascii="Calibri" w:hAnsi="Calibri" w:eastAsia="Calibri"/>
          <w:i/>
          <w:sz w:val="22"/>
        </w:rPr>
        <w:t>Higher Education, 32</w:t>
      </w:r>
      <w:r>
        <w:rPr>
          <w:rFonts w:ascii="Calibri" w:hAnsi="Calibri" w:eastAsia="Calibri"/>
          <w:sz w:val="22"/>
        </w:rPr>
        <w:t>(3), 347–364. https://doi.org/10.1007/BF00138871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Dhuliawala, S., Komeili, M., Xu, J., Raileanu, R., Li, X., Celikyilmaz, A., y Weston, J. (2023). </w:t>
      </w:r>
      <w:r>
        <w:rPr>
          <w:rFonts w:ascii="Calibri" w:hAnsi="Calibri" w:eastAsia="Calibri"/>
          <w:i/>
          <w:sz w:val="22"/>
        </w:rPr>
        <w:t>Chain-of-verification reduces hallucination in large language models</w:t>
      </w:r>
      <w:r>
        <w:rPr>
          <w:rFonts w:ascii="Calibri" w:hAnsi="Calibri" w:eastAsia="Calibri"/>
          <w:sz w:val="22"/>
        </w:rPr>
        <w:t>. arXiv. https://arxiv.org/abs/2309.11495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Ji, Z., Lee, N., Frieske, R., Yu, T., Su, D., Xu, Y., Ishii, E., Bang, Y. J., Madotto, A., y Fung, P. (2023). Survey of hallucination in natural language generation. </w:t>
      </w:r>
      <w:r>
        <w:rPr>
          <w:rFonts w:ascii="Calibri" w:hAnsi="Calibri" w:eastAsia="Calibri"/>
          <w:i/>
          <w:sz w:val="22"/>
        </w:rPr>
        <w:t>ACM Computing Surveys, 55</w:t>
      </w:r>
      <w:r>
        <w:rPr>
          <w:rFonts w:ascii="Calibri" w:hAnsi="Calibri" w:eastAsia="Calibri"/>
          <w:sz w:val="22"/>
        </w:rPr>
        <w:t>(12), Artículo 248. https://doi.org/10.1145/3571730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Kalyuga, S., Ayres, P., Chandler, P., y Sweller, J. (2003). The expertise reversal effect. </w:t>
      </w:r>
      <w:r>
        <w:rPr>
          <w:rFonts w:ascii="Calibri" w:hAnsi="Calibri" w:eastAsia="Calibri"/>
          <w:i/>
          <w:sz w:val="22"/>
        </w:rPr>
        <w:t>Educational Psychologist, 38</w:t>
      </w:r>
      <w:r>
        <w:rPr>
          <w:rFonts w:ascii="Calibri" w:hAnsi="Calibri" w:eastAsia="Calibri"/>
          <w:sz w:val="22"/>
        </w:rPr>
        <w:t>(1), 23–31. https://doi.org/10.1207/S15326985EP3801_4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Kane, M. T. (2013). Validating the interpretations and uses of test scores. </w:t>
      </w:r>
      <w:r>
        <w:rPr>
          <w:rFonts w:ascii="Calibri" w:hAnsi="Calibri" w:eastAsia="Calibri"/>
          <w:i/>
          <w:sz w:val="22"/>
        </w:rPr>
        <w:t>Journal of Educational Measurement, 50</w:t>
      </w:r>
      <w:r>
        <w:rPr>
          <w:rFonts w:ascii="Calibri" w:hAnsi="Calibri" w:eastAsia="Calibri"/>
          <w:sz w:val="22"/>
        </w:rPr>
        <w:t>(1), 1–73. https://doi.org/10.1111/jedm.12000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Knowles, M. S., Holton, E. F., III, y Swanson, R. A. (2015). </w:t>
      </w:r>
      <w:r>
        <w:rPr>
          <w:rFonts w:ascii="Calibri" w:hAnsi="Calibri" w:eastAsia="Calibri"/>
          <w:i/>
          <w:sz w:val="22"/>
        </w:rPr>
        <w:t>The adult learner: The definitive classic in adult education and human resource development</w:t>
      </w:r>
      <w:r>
        <w:rPr>
          <w:rFonts w:ascii="Calibri" w:hAnsi="Calibri" w:eastAsia="Calibri"/>
          <w:sz w:val="22"/>
        </w:rPr>
        <w:t xml:space="preserve"> (8.ª ed.). Routledge.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Landis, J. R., y Koch, G. G. (1977). The measurement of observer agreement for categorical data. </w:t>
      </w:r>
      <w:r>
        <w:rPr>
          <w:rFonts w:ascii="Calibri" w:hAnsi="Calibri" w:eastAsia="Calibri"/>
          <w:i/>
          <w:sz w:val="22"/>
        </w:rPr>
        <w:t>Biometrics, 33</w:t>
      </w:r>
      <w:r>
        <w:rPr>
          <w:rFonts w:ascii="Calibri" w:hAnsi="Calibri" w:eastAsia="Calibri"/>
          <w:sz w:val="22"/>
        </w:rPr>
        <w:t>(1), 159–174. https://doi.org/10.2307/2529310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Mayer, R. E. (2009). </w:t>
      </w:r>
      <w:r>
        <w:rPr>
          <w:rFonts w:ascii="Calibri" w:hAnsi="Calibri" w:eastAsia="Calibri"/>
          <w:i/>
          <w:sz w:val="22"/>
        </w:rPr>
        <w:t>Multimedia learning</w:t>
      </w:r>
      <w:r>
        <w:rPr>
          <w:rFonts w:ascii="Calibri" w:hAnsi="Calibri" w:eastAsia="Calibri"/>
          <w:sz w:val="22"/>
        </w:rPr>
        <w:t xml:space="preserve"> (2.ª ed.). Cambridge University Press. https://doi.org/10.1017/CBO9780511811678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Nickerson, R. S. (1998). Confirmation bias: A ubiquitous phenomenon in many guises. </w:t>
      </w:r>
      <w:r>
        <w:rPr>
          <w:rFonts w:ascii="Calibri" w:hAnsi="Calibri" w:eastAsia="Calibri"/>
          <w:i/>
          <w:sz w:val="22"/>
        </w:rPr>
        <w:t>Review of General Psychology, 2</w:t>
      </w:r>
      <w:r>
        <w:rPr>
          <w:rFonts w:ascii="Calibri" w:hAnsi="Calibri" w:eastAsia="Calibri"/>
          <w:sz w:val="22"/>
        </w:rPr>
        <w:t>(2), 175–220. https://doi.org/10.1037/1089-2680.2.2.175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Sharma, M., Tong, M., Korbak, T., Duvenaud, D., Askell, A., Bowman, S. R., et al. (2023). </w:t>
      </w:r>
      <w:r>
        <w:rPr>
          <w:rFonts w:ascii="Calibri" w:hAnsi="Calibri" w:eastAsia="Calibri"/>
          <w:i/>
          <w:sz w:val="22"/>
        </w:rPr>
        <w:t>Towards understanding sycophancy in language models</w:t>
      </w:r>
      <w:r>
        <w:rPr>
          <w:rFonts w:ascii="Calibri" w:hAnsi="Calibri" w:eastAsia="Calibri"/>
          <w:sz w:val="22"/>
        </w:rPr>
        <w:t>. arXiv. https://arxiv.org/abs/2310.13548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Sweller, J. (1988). Cognitive load during problem solving: Effects on learning. </w:t>
      </w:r>
      <w:r>
        <w:rPr>
          <w:rFonts w:ascii="Calibri" w:hAnsi="Calibri" w:eastAsia="Calibri"/>
          <w:i/>
          <w:sz w:val="22"/>
        </w:rPr>
        <w:t>Cognitive Science, 12</w:t>
      </w:r>
      <w:r>
        <w:rPr>
          <w:rFonts w:ascii="Calibri" w:hAnsi="Calibri" w:eastAsia="Calibri"/>
          <w:sz w:val="22"/>
        </w:rPr>
        <w:t>(2), 257–285. https://doi.org/10.1207/s15516709cog1202_4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Tversky, A., y Kahneman, D. (1974). Judgment under uncertainty: Heuristics and biases. </w:t>
      </w:r>
      <w:r>
        <w:rPr>
          <w:rFonts w:ascii="Calibri" w:hAnsi="Calibri" w:eastAsia="Calibri"/>
          <w:i/>
          <w:sz w:val="22"/>
        </w:rPr>
        <w:t>Science, 185</w:t>
      </w:r>
      <w:r>
        <w:rPr>
          <w:rFonts w:ascii="Calibri" w:hAnsi="Calibri" w:eastAsia="Calibri"/>
          <w:sz w:val="22"/>
        </w:rPr>
        <w:t>(4157), 1124–1131. https://doi.org/10.1126/science.185.4157.1124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Wood, D., Bruner, J. S., y Ross, G. (1976). The role of tutoring in problem solving. </w:t>
      </w:r>
      <w:r>
        <w:rPr>
          <w:rFonts w:ascii="Calibri" w:hAnsi="Calibri" w:eastAsia="Calibri"/>
          <w:i/>
          <w:sz w:val="22"/>
        </w:rPr>
        <w:t>Journal of Child Psychology and Psychiatry, 17</w:t>
      </w:r>
      <w:r>
        <w:rPr>
          <w:rFonts w:ascii="Calibri" w:hAnsi="Calibri" w:eastAsia="Calibri"/>
          <w:sz w:val="22"/>
        </w:rPr>
        <w:t>(2), 89–100. https://doi.org/10.1111/j.1469-7610.1976.tb00381.x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Zheng, L., Chiang, W.-L., Sheng, Y., Zhuang, S., Wu, Z., Zhuang, Y., et al. (2023). </w:t>
      </w:r>
      <w:r>
        <w:rPr>
          <w:rFonts w:ascii="Calibri" w:hAnsi="Calibri" w:eastAsia="Calibri"/>
          <w:i/>
          <w:sz w:val="22"/>
        </w:rPr>
        <w:t>Judging LLM-as-a-judge with MT-Bench and Chatbot Arena</w:t>
      </w:r>
      <w:r>
        <w:rPr>
          <w:rFonts w:ascii="Calibri" w:hAnsi="Calibri" w:eastAsia="Calibri"/>
          <w:sz w:val="22"/>
        </w:rPr>
        <w:t>. arXiv. https://arxiv.org/abs/2306.05685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Zheng, M., Pei, J., Logeswaran, L., Lee, M., y Jurgens, D. (2024). </w:t>
      </w:r>
      <w:r>
        <w:rPr>
          <w:rFonts w:ascii="Calibri" w:hAnsi="Calibri" w:eastAsia="Calibri"/>
          <w:i/>
          <w:sz w:val="22"/>
        </w:rPr>
        <w:t>When “a helpful assistant” is not really helpful: Personas in system prompts do not improve performances of large language models</w:t>
      </w:r>
      <w:r>
        <w:rPr>
          <w:rFonts w:ascii="Calibri" w:hAnsi="Calibri" w:eastAsia="Calibri"/>
          <w:sz w:val="22"/>
        </w:rPr>
        <w:t>. arXiv. https://arxiv.org/abs/2311.10054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Norma de citación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American Psychological Association. (2020). </w:t>
      </w:r>
      <w:r>
        <w:rPr>
          <w:rFonts w:ascii="Calibri" w:hAnsi="Calibri" w:eastAsia="Calibri"/>
          <w:i/>
          <w:sz w:val="22"/>
        </w:rPr>
        <w:t>Publication manual of the American Psychological Association</w:t>
      </w:r>
      <w:r>
        <w:rPr>
          <w:rFonts w:ascii="Calibri" w:hAnsi="Calibri" w:eastAsia="Calibri"/>
          <w:sz w:val="22"/>
        </w:rPr>
        <w:t xml:space="preserve"> (7.ª ed.). https://doi.org/10.1037/0000165-000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Fuentes normativas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>Ley 19.628 de 1999. Sobre protección de la vida privada. Diario Oficial de la República de Chile.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>Ley 21.719 de 2024. Regula la protección y el tratamiento de los datos personales y crea la Agencia de Protección de Datos Personales. Diario Oficial de la República de Chile.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Fuentes institucionales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Duoc UC. (s. f.). </w:t>
      </w:r>
      <w:r>
        <w:rPr>
          <w:rFonts w:ascii="Calibri" w:hAnsi="Calibri" w:eastAsia="Calibri"/>
          <w:i/>
          <w:sz w:val="22"/>
        </w:rPr>
        <w:t>Normas de presentación de trabajos escritos</w:t>
      </w:r>
      <w:r>
        <w:rPr>
          <w:rFonts w:ascii="Calibri" w:hAnsi="Calibri" w:eastAsia="Calibri"/>
          <w:sz w:val="22"/>
        </w:rPr>
        <w:t xml:space="preserve"> [Documento institucional de Bibliotecas Duoc UC].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Material analizado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Carrasco Navarrete, J. A. (s. f.-a). </w:t>
      </w:r>
      <w:r>
        <w:rPr>
          <w:rFonts w:ascii="Calibri" w:hAnsi="Calibri" w:eastAsia="Calibri"/>
          <w:i/>
          <w:sz w:val="22"/>
        </w:rPr>
        <w:t>Instrucción de sistema: GEM — Arquitecto Pedagógico de Casos Situados, v2.0</w:t>
      </w:r>
      <w:r>
        <w:rPr>
          <w:rFonts w:ascii="Calibri" w:hAnsi="Calibri" w:eastAsia="Calibri"/>
          <w:sz w:val="22"/>
        </w:rPr>
        <w:t xml:space="preserve"> [Documento inédito].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Carrasco Navarrete, J. A. (s. f.-b). </w:t>
      </w:r>
      <w:r>
        <w:rPr>
          <w:rFonts w:ascii="Calibri" w:hAnsi="Calibri" w:eastAsia="Calibri"/>
          <w:i/>
          <w:sz w:val="22"/>
        </w:rPr>
        <w:t>Prompt maestro nivel dirección ejecutiva y auditoría científica de resultados de IA</w:t>
      </w:r>
      <w:r>
        <w:rPr>
          <w:rFonts w:ascii="Calibri" w:hAnsi="Calibri" w:eastAsia="Calibri"/>
          <w:sz w:val="22"/>
        </w:rPr>
        <w:t xml:space="preserve"> [Documento inédito].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Fuentes técnicas y herramientas de IA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Anthropic. (2026). </w:t>
      </w:r>
      <w:r>
        <w:rPr>
          <w:rFonts w:ascii="Calibri" w:hAnsi="Calibri" w:eastAsia="Calibri"/>
          <w:i/>
          <w:sz w:val="22"/>
        </w:rPr>
        <w:t>Claude Sonnet 5.5</w:t>
      </w:r>
      <w:r>
        <w:rPr>
          <w:rFonts w:ascii="Calibri" w:hAnsi="Calibri" w:eastAsia="Calibri"/>
          <w:sz w:val="22"/>
        </w:rPr>
        <w:t xml:space="preserve"> (versión de octubre) [Modelo de lenguaje de gran tamaño]. https://claude.ai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McAdoo, T. (2023, 7 de abril). </w:t>
      </w:r>
      <w:r>
        <w:rPr>
          <w:rFonts w:ascii="Calibri" w:hAnsi="Calibri" w:eastAsia="Calibri"/>
          <w:i/>
          <w:sz w:val="22"/>
        </w:rPr>
        <w:t>How to cite ChatGPT</w:t>
      </w:r>
      <w:r>
        <w:rPr>
          <w:rFonts w:ascii="Calibri" w:hAnsi="Calibri" w:eastAsia="Calibri"/>
          <w:sz w:val="22"/>
        </w:rPr>
        <w:t>. APA Style. https://apastyle.apa.org/blog/how-to-cite-chatgpt</w:t>
      </w: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Anexo A. Declaración de uso de 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EEEE"/>
            <w:tcBorders>
              <w:top w:val="nil"/>
              <w:left w:val="single" w:sz="32" w:color="FFB800"/>
              <w:bottom w:val="nil"/>
              <w:right w:val="nil"/>
            </w:tcBorders>
          </w:tcPr>
          <w:p>
            <w:pPr>
              <w:keepNext w:val="0"/>
              <w:spacing w:line="276" w:lineRule="auto" w:before="60" w:after="60"/>
              <w:jc w:val="left"/>
            </w:pPr>
            <w:r>
              <w:rPr>
                <w:rFonts w:ascii="Calibri" w:hAnsi="Calibri"/>
                <w:b/>
                <w:sz w:val="21"/>
              </w:rPr>
              <w:t xml:space="preserve">Declaración de uso de IA. </w:t>
            </w:r>
            <w:r>
              <w:rPr>
                <w:rFonts w:ascii="Calibri" w:hAnsi="Calibri" w:eastAsia="Calibri"/>
                <w:sz w:val="21"/>
              </w:rPr>
              <w:t>Este documento se elaboró con asistencia de Claude Sonnet 5.5 (Anthropic), mediante Claude Code, el 19 de octubre de 2026, para analizar, redactar y sistematizar. La verificación humana de contenido y fuentes está pendiente de realización por el autor, quien asume la responsabilidad final. Detalle completo en el archivo 05_Declaracion_Uso_IA.</w:t>
            </w:r>
          </w:p>
        </w:tc>
      </w:tr>
    </w:tbl>
    <w:p>
      <w:pPr>
        <w:keepNext w:val="0"/>
        <w:spacing w:line="360" w:lineRule="auto" w:before="0" w:after="0"/>
        <w:jc w:val="both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20"/>
      </w:rPr>
      <w:t xml:space="preserve">Informe ejecutivo · Optimización de prompts  |  </w:t>
    </w:r>
    <w:r>
      <w:rPr>
        <w:rFonts w:ascii="Calibri" w:hAnsi="Calibri"/>
        <w:color w:val="666666"/>
        <w:sz w:val="20"/>
      </w:rPr>
      <w:fldChar w:fldCharType="begin"/>
    </w:r>
    <w:r>
      <w:rPr>
        <w:rFonts w:ascii="Calibri" w:hAnsi="Calibri"/>
        <w:color w:val="666666"/>
        <w:sz w:val="20"/>
      </w:rPr>
      <w:instrText xml:space="preserve">PAGE</w:instrText>
    </w:r>
    <w:r>
      <w:rPr>
        <w:rFonts w:ascii="Calibri" w:hAnsi="Calibri"/>
        <w:color w:val="666666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Ejecutivo De Optimización Y Auditoría De Prompts</dc:title>
  <dc:subject/>
  <dc:creator>Juan Antonio Carrasco Navarrete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