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jc w:val="left"/>
      </w:pPr>
      <w:r>
        <w:rPr>
          <w:rFonts w:ascii="Calibri" w:hAnsi="Calibri" w:eastAsia="Calibri"/>
          <w:color w:val="666666"/>
          <w:sz w:val="18"/>
        </w:rPr>
        <w:t>[Insertar logotipo oficial Duoc UC en esta esquina]</w:t>
      </w:r>
    </w:p>
    <w:p/>
    <w:p/>
    <w:p/>
    <w:p/>
    <w:p/>
    <w:p>
      <w:pPr>
        <w:keepNext w:val="0"/>
        <w:spacing w:line="276" w:lineRule="auto" w:before="0" w:after="200"/>
        <w:jc w:val="center"/>
        <w:pBdr>
          <w:bottom w:val="single" w:sz="18" w:space="8" w:color="FFB800"/>
        </w:pBdr>
      </w:pPr>
      <w:r>
        <w:rPr>
          <w:rFonts w:ascii="Calibri" w:hAnsi="Calibri"/>
          <w:b/>
          <w:color w:val="1A1A1A"/>
          <w:sz w:val="28"/>
        </w:rPr>
        <w:t>INFORME TÉCNICO DE ANÁLISIS Y AUDITORÍA DE PROMPTS</w:t>
      </w:r>
    </w:p>
    <w:p/>
    <w:p/>
    <w:p/>
    <w:p/>
    <w:p/>
    <w:p/>
    <w:p/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Autor: </w:t>
      </w:r>
      <w:r>
        <w:rPr>
          <w:rFonts w:ascii="Calibri" w:hAnsi="Calibri"/>
          <w:sz w:val="28"/>
        </w:rPr>
        <w:t>Juan Antonio Carrasco Navarrete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Unidad: </w:t>
      </w:r>
      <w:r>
        <w:rPr>
          <w:rFonts w:ascii="Calibri" w:hAnsi="Calibri"/>
          <w:sz w:val="28"/>
        </w:rPr>
        <w:t>Escuela de Administración y Negocios, Sede San Bernardo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Proyecto: </w:t>
      </w:r>
      <w:r>
        <w:rPr>
          <w:rFonts w:ascii="Calibri" w:hAnsi="Calibri"/>
          <w:sz w:val="28"/>
        </w:rPr>
        <w:t>Ingeniería de prompts para diseño instruccional y auditoría de IA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Fecha: </w:t>
      </w:r>
      <w:r>
        <w:rPr>
          <w:rFonts w:ascii="Calibri" w:hAnsi="Calibri"/>
          <w:sz w:val="28"/>
        </w:rPr>
        <w:t>19 de octubre de 2026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Producto: </w:t>
      </w:r>
      <w:r>
        <w:rPr>
          <w:rFonts w:ascii="Calibri" w:hAnsi="Calibri"/>
          <w:sz w:val="28"/>
        </w:rPr>
        <w:t>02 · Informe técnico</w:t>
      </w:r>
    </w:p>
    <w:p>
      <w:r>
        <w:br w:type="page"/>
      </w:r>
    </w:p>
    <w:p>
      <w:pPr>
        <w:keepNext w:val="0"/>
        <w:spacing w:line="276" w:lineRule="auto" w:before="0" w:after="24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sz w:val="30"/>
        </w:rPr>
        <w:t>Índice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1. Introducción</w:t>
        <w:tab/>
        <w:t>4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2. Marco metodológico</w:t>
        <w:tab/>
        <w:t>4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2.1 Materiales analizados</w:t>
        <w:tab/>
        <w:t>4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2.2 Procedimiento</w:t>
        <w:tab/>
        <w:t>4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2.3 Instrumento de evaluación de calidad de prompts</w:t>
        <w:tab/>
        <w:t>5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3. Diagnóstico del Prompt 1 (Arquitecto Pedagógico de Casos)</w:t>
        <w:tab/>
        <w:t>5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3.1 Fortalezas conservadas</w:t>
        <w:tab/>
        <w:t>5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3.2 Brechas detectadas</w:t>
        <w:tab/>
        <w:t>5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4. Diagnóstico del Prompt 2 (Auditoría de informes de IA)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4.1 Fortalezas conservadas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4.2 Brechas detectadas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5. Diseño de las versiones 3.0</w:t>
        <w:tab/>
        <w:t>8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5.1 Principios de diseño</w:t>
        <w:tab/>
        <w:t>8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5.2 Arquitectura comparada</w:t>
        <w:tab/>
        <w:t>8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6. Resultados</w:t>
        <w:tab/>
        <w:t>9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6.1 Distribución de los cambios</w:t>
        <w:tab/>
        <w:t>9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6.2 Autoevaluación de calidad</w:t>
        <w:tab/>
        <w:t>9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7. Auditoría de control de calidad</w:t>
        <w:tab/>
        <w:t>10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7.1 Comprobaciones documentales automatizadas</w:t>
        <w:tab/>
        <w:t>10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7.2 Filtro de calidad (FY)</w:t>
        <w:tab/>
        <w:t>10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8. Limitaciones</w:t>
        <w:tab/>
        <w:t>11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9. Conclusión</w:t>
        <w:tab/>
        <w:t>11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Referencias</w:t>
        <w:tab/>
        <w:t>10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académicas</w:t>
        <w:tab/>
        <w:t>11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Norma de citación</w:t>
        <w:tab/>
        <w:t>13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normativas</w:t>
        <w:tab/>
        <w:t>13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institucionales</w:t>
        <w:tab/>
        <w:t>13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Material analizado</w:t>
        <w:tab/>
        <w:t>13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técnicas y herramientas de IA</w:t>
        <w:tab/>
        <w:t>13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Anexo A. Glosario de etiquetas y estados</w:t>
        <w:tab/>
        <w:t>14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Anexo B. Declaración de uso de IA</w:t>
        <w:tab/>
        <w:t>14</w:t>
      </w:r>
    </w:p>
    <w:p>
      <w:r>
        <w:br w:type="page"/>
      </w:r>
    </w:p>
    <w:p/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1. Introducción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El informe documenta el procedimiento, los criterios y los resultados del análisis de dos prompts de uso académico. Su finalidad es que cada decisión de cambio pueda ser auditada: qué se observó, por qué constituye una brecha, qué se modificó y con qué fundamento.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b/>
          <w:sz w:val="22"/>
        </w:rPr>
        <w:t>Objetivos.</w:t>
      </w:r>
      <w:r>
        <w:rPr>
          <w:rFonts w:ascii="Calibri" w:hAnsi="Calibri" w:eastAsia="Calibri"/>
          <w:sz w:val="22"/>
        </w:rPr>
        <w:t xml:space="preserve"> (1) Diagnosticar P1 y P2 según su naturaleza y propósito. (2) Optimizarlos en versiones 3.0 con criterios de ingeniería de prompts, diseño instruccional y práctica de auditoría. (3) Sistematizar la evidencia y la trazabilidad de cambios. (4) Auditar los resultados y declarar el uso de IA y las fuentes.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b/>
          <w:sz w:val="22"/>
        </w:rPr>
        <w:t>Organización.</w:t>
      </w:r>
      <w:r>
        <w:rPr>
          <w:rFonts w:ascii="Calibri" w:hAnsi="Calibri" w:eastAsia="Calibri"/>
          <w:sz w:val="22"/>
        </w:rPr>
        <w:t xml:space="preserve"> El capítulo 2 presenta el marco metodológico; los capítulos 3 y 4, los diagnósticos; el 5, el diseño de las versiones 3.0; el 6, los resultados; el 7, la auditoría de calidad; el 8, las limitaciones; y el 9, las conclusiones.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2. Marco metodológico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2.1 Materiales analizados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64"/>
        <w:gridCol w:w="3168"/>
        <w:gridCol w:w="4176"/>
        <w:gridCol w:w="1152"/>
      </w:tblGrid>
      <w:tr>
        <w:trPr>
          <w:tblHeader w:val="true"/>
        </w:trPr>
        <w:tc>
          <w:tcPr>
            <w:tcW w:type="dxa" w:w="864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16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417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Naturaleza y propósito</w:t>
            </w:r>
          </w:p>
        </w:tc>
        <w:tc>
          <w:tcPr>
            <w:tcW w:type="dxa" w:w="115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Tamaño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1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Instrucción de sistema «GEM — Arquitecto Pedagógico de Casos Situados», v2.0</w:t>
            </w:r>
          </w:p>
        </w:tc>
        <w:tc>
          <w:tcPr>
            <w:tcW w:type="dxa" w:w="417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Prompt de co-diseño instruccional con interacción por fases y aprobación docente.</w:t>
            </w:r>
          </w:p>
        </w:tc>
        <w:tc>
          <w:tcPr>
            <w:tcW w:type="dxa" w:w="115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1763 palabras</w:t>
            </w:r>
          </w:p>
        </w:tc>
      </w:tr>
      <w:tr>
        <w:trPr>
          <w:cantSplit w:val="true"/>
        </w:trPr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P2</w:t>
            </w:r>
          </w:p>
        </w:tc>
        <w:tc>
          <w:tcPr>
            <w:tcW w:type="dxa" w:w="31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Prompt maestro de auditoría científica de resultados de IA</w:t>
            </w:r>
          </w:p>
        </w:tc>
        <w:tc>
          <w:tcPr>
            <w:tcW w:type="dxa" w:w="417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Prompt de evaluación y síntesis ejecutiva de dos informes de IA sobre los mismos datos.</w:t>
            </w:r>
          </w:p>
        </w:tc>
        <w:tc>
          <w:tcPr>
            <w:tcW w:type="dxa" w:w="115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729 palabras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archivos adjuntos por el autor.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2.2 Procedimiento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Lectura crítica estructurada</w:t>
      </w:r>
      <w:r>
        <w:rPr>
          <w:rFonts w:ascii="Calibri" w:hAnsi="Calibri" w:eastAsia="Calibri"/>
          <w:sz w:val="22"/>
        </w:rPr>
        <w:t xml:space="preserve"> de cada prompt: rol, entradas, procedimiento, criterios de calidad, salidas y manejo de excepciones.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Detección de brechas</w:t>
      </w:r>
      <w:r>
        <w:rPr>
          <w:rFonts w:ascii="Calibri" w:hAnsi="Calibri" w:eastAsia="Calibri"/>
          <w:sz w:val="22"/>
        </w:rPr>
        <w:t xml:space="preserve"> con lista de verificación de ingeniería de prompts: ambigüedad, redundancia, contradicción, omisión, sesgo inducido, falta de control de flujo, falta de operacionalización y de trazabilidad.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Clasificación por severidad:</w:t>
      </w:r>
      <w:r>
        <w:rPr>
          <w:rFonts w:ascii="Calibri" w:hAnsi="Calibri" w:eastAsia="Calibri"/>
          <w:sz w:val="22"/>
        </w:rPr>
        <w:t xml:space="preserve"> </w:t>
      </w:r>
      <w:r>
        <w:rPr>
          <w:rFonts w:ascii="Calibri" w:hAnsi="Calibri" w:eastAsia="Calibri"/>
          <w:i/>
          <w:sz w:val="22"/>
        </w:rPr>
        <w:t>Crítico</w:t>
      </w:r>
      <w:r>
        <w:rPr>
          <w:rFonts w:ascii="Calibri" w:hAnsi="Calibri" w:eastAsia="Calibri"/>
          <w:sz w:val="22"/>
        </w:rPr>
        <w:t xml:space="preserve"> (puede producir resultados erróneos o dañinos sin detección), </w:t>
      </w:r>
      <w:r>
        <w:rPr>
          <w:rFonts w:ascii="Calibri" w:hAnsi="Calibri" w:eastAsia="Calibri"/>
          <w:i/>
          <w:sz w:val="22"/>
        </w:rPr>
        <w:t>Mayor</w:t>
      </w:r>
      <w:r>
        <w:rPr>
          <w:rFonts w:ascii="Calibri" w:hAnsi="Calibri" w:eastAsia="Calibri"/>
          <w:sz w:val="22"/>
        </w:rPr>
        <w:t xml:space="preserve"> (degrada calidad, seguridad o auditabilidad) y </w:t>
      </w:r>
      <w:r>
        <w:rPr>
          <w:rFonts w:ascii="Calibri" w:hAnsi="Calibri" w:eastAsia="Calibri"/>
          <w:i/>
          <w:sz w:val="22"/>
        </w:rPr>
        <w:t>Menor</w:t>
      </w:r>
      <w:r>
        <w:rPr>
          <w:rFonts w:ascii="Calibri" w:hAnsi="Calibri" w:eastAsia="Calibri"/>
          <w:sz w:val="22"/>
        </w:rPr>
        <w:t xml:space="preserve"> (mejora de precisión o usabilidad).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Rediseño</w:t>
      </w:r>
      <w:r>
        <w:rPr>
          <w:rFonts w:ascii="Calibri" w:hAnsi="Calibri" w:eastAsia="Calibri"/>
          <w:sz w:val="22"/>
        </w:rPr>
        <w:t xml:space="preserve"> conservando lo que funcionaba y registrando cada cambio con identificador, fundamento y ubicación (Matriz de trazabilidad, producto 03).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Auditoría documental automatizada</w:t>
      </w:r>
      <w:r>
        <w:rPr>
          <w:rFonts w:ascii="Calibri" w:hAnsi="Calibri" w:eastAsia="Calibri"/>
          <w:sz w:val="22"/>
        </w:rPr>
        <w:t xml:space="preserve"> de las versiones 3.0 (comprobaciones objetivas) y </w:t>
      </w:r>
      <w:r>
        <w:rPr>
          <w:rFonts w:ascii="Calibri" w:hAnsi="Calibri" w:eastAsia="Calibri"/>
          <w:b/>
          <w:sz w:val="22"/>
        </w:rPr>
        <w:t>autoevaluación</w:t>
      </w:r>
      <w:r>
        <w:rPr>
          <w:rFonts w:ascii="Calibri" w:hAnsi="Calibri" w:eastAsia="Calibri"/>
          <w:sz w:val="22"/>
        </w:rPr>
        <w:t xml:space="preserve"> con rúbrica de ocho criterios.</w:t>
      </w:r>
    </w:p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2.3 Instrumento de evaluación de calidad de prompts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Ocho criterios, escala 1–5 con anclas: 1 = ausente o deficiente; 2 = débil; 3 = aceptable; 4 = sólido; 5 = ejemplar y verificable. Los criterios se derivan de las buenas prácticas de ingeniería de prompts (rol y objetivo, entradas, criterios explícitos, validación), de seguridad (anti-alucinación, instrucciones incrustadas) y de las exigencias institucionales.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3744"/>
        <w:gridCol w:w="5040"/>
      </w:tblGrid>
      <w:tr>
        <w:trPr>
          <w:tblHeader w:val="true"/>
        </w:trPr>
        <w:tc>
          <w:tcPr>
            <w:tcW w:type="dxa" w:w="57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N.º</w:t>
            </w:r>
          </w:p>
        </w:tc>
        <w:tc>
          <w:tcPr>
            <w:tcW w:type="dxa" w:w="3744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504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Qué se observa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1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Claridad de rol y objetivo</w:t>
            </w:r>
          </w:p>
        </w:tc>
        <w:tc>
          <w:tcPr>
            <w:tcW w:type="dxa" w:w="50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Rol, objetivo y destinatario inequívocos.</w:t>
            </w:r>
          </w:p>
        </w:tc>
      </w:tr>
      <w:tr>
        <w:trPr>
          <w:cantSplit w:val="true"/>
        </w:trPr>
        <w:tc>
          <w:tcPr>
            <w:tcW w:type="dxa" w:w="57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Completitud de entradas</w:t>
            </w:r>
          </w:p>
        </w:tc>
        <w:tc>
          <w:tcPr>
            <w:tcW w:type="dxa" w:w="50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Variables requeridas, valores por defecto y qué hacer si faltan.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Criterios de calidad explícitos</w:t>
            </w:r>
          </w:p>
        </w:tc>
        <w:tc>
          <w:tcPr>
            <w:tcW w:type="dxa" w:w="50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Estándares de calidad medibles antes de entregar.</w:t>
            </w:r>
          </w:p>
        </w:tc>
      </w:tr>
      <w:tr>
        <w:trPr>
          <w:cantSplit w:val="true"/>
        </w:trPr>
        <w:tc>
          <w:tcPr>
            <w:tcW w:type="dxa" w:w="57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Mecanismos de validación y control</w:t>
            </w:r>
          </w:p>
        </w:tc>
        <w:tc>
          <w:tcPr>
            <w:tcW w:type="dxa" w:w="50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Compuertas, autocontrol, protocolos de piloto.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Robustez (anti-alucinación y seguridad)</w:t>
            </w:r>
          </w:p>
        </w:tc>
        <w:tc>
          <w:tcPr>
            <w:tcW w:type="dxa" w:w="50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Defensas ante alucinación, complacencia e instrucciones incrustadas; manejo de datos personales.</w:t>
            </w:r>
          </w:p>
        </w:tc>
      </w:tr>
      <w:tr>
        <w:trPr>
          <w:cantSplit w:val="true"/>
        </w:trPr>
        <w:tc>
          <w:tcPr>
            <w:tcW w:type="dxa" w:w="57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6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Alineación institucional (DUOC UC, APA)</w:t>
            </w:r>
          </w:p>
        </w:tc>
        <w:tc>
          <w:tcPr>
            <w:tcW w:type="dxa" w:w="50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Formato Duoc UC, APA 7, declaración de IA.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7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Operacionalidad (anclas, reglas deterministas)</w:t>
            </w:r>
          </w:p>
        </w:tc>
        <w:tc>
          <w:tcPr>
            <w:tcW w:type="dxa" w:w="50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Anclas, reglas deterministas, formatos de salida concretos.</w:t>
            </w:r>
          </w:p>
        </w:tc>
      </w:tr>
      <w:tr>
        <w:trPr>
          <w:cantSplit w:val="true"/>
        </w:trPr>
        <w:tc>
          <w:tcPr>
            <w:tcW w:type="dxa" w:w="57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8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Reutilizabilidad y documentación</w:t>
            </w:r>
          </w:p>
        </w:tc>
        <w:tc>
          <w:tcPr>
            <w:tcW w:type="dxa" w:w="50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Versionado, documentación, trazabilidad y portabilidad.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3. Diagnóstico del Prompt 1 (Arquitecto Pedagógico de Casos)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3.1 Fortalezas conservadas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Rol acotado y propósito claro (comprender y usar el contenido, no memorizar).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Fidelidad al adjunto con marcador [SUGERENCIA EXTERNA] y [BRECHA].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Estructura narrativa de tres actos y cuatro desafíos graduados (D1–D4).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Cajas de apoyo, rúbrica de cuatro niveles y suite docente con cronograma.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Manejo de situaciones especiales, incluida la advertencia en contenidos de alto riesgo.</w:t>
      </w:r>
    </w:p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3.2 Brechas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2"/>
        <w:gridCol w:w="864"/>
        <w:gridCol w:w="3888"/>
        <w:gridCol w:w="3816"/>
      </w:tblGrid>
      <w:tr>
        <w:trPr>
          <w:tblHeader w:val="true"/>
        </w:trPr>
        <w:tc>
          <w:tcPr>
            <w:tcW w:type="dxa" w:w="79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864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Sev.</w:t>
            </w:r>
          </w:p>
        </w:tc>
        <w:tc>
          <w:tcPr>
            <w:tcW w:type="dxa" w:w="388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Hallazgo en el original</w:t>
            </w:r>
          </w:p>
        </w:tc>
        <w:tc>
          <w:tcPr>
            <w:tcW w:type="dxa" w:w="381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Cambio en v3.0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P1-01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La Fase 3 ordena generar «A1 → A2 → A3 → A4», pero A4 está definido en la Fase 4.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Fase 3 limitada a A1–A3; A4 exclusivo de la Fase 4.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P1-02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 alternan «Resultados de aprendizaje» y «RAE»; el perfil institucional usa también RAP.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 unifica «RA» y se define en variables de entrada.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P1-03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La rúbrica se produce al final (A3) y su equivalencia institucional recién en A4; el caso se diseña antes que la evaluación.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La rúbrica preliminar se diseña en la Fase 2, antes de redactar el caso, y se verifica su identidad en la compuerta G3.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P1-04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 declara «exigencia base 70 %» pero no se define la conversión a nota 1,0–7,0 ni puntajes por nivel.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 agrega puntaje por nivel, umbral de aprobación y fórmula lineal por tramos (4,0 al 70 %), a confirmar con la institución.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P1-05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hay jerarquía entre instrucciones ni defensa ante órdenes incrustadas en el adjunto.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 agregan reglas de precedencia y tratamiento del adjunto como datos, con etiquetas [CONFLICTO] y [ALERTA DE CONTENIDO].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P1-06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«Cuando la fase lo exige» y «si la extensión es grande» son criterios ambiguos.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Compuertas G1–G4 con checklist; umbral explícito de 8 páginas para dividir la entrega.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P1-07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se declara el nivel cognitivo buscado; D1–D4 no se vinculan a una taxonomía.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Variable {{NIVEL_COGNITIVO_OBJETIVO}} y mapeo D1 Analizar, D2 Aplicar, D3 Evaluar, D4 Crear; columna Bloom en la matriz.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P1-08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«Empatía pedagógica» presume vacíos de base; puede resultar infantilizante para adultos con experiencia laboral.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Andamiaje ajustable según experiencia y principios andragógicos; se conserva la seguridad psicológica.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P1-09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 exige coherencia aritmética pero no existe un paso que la verifique.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Verificación aritmética obligatoria en Fase 2 y en el solucionario, con declaración explícita del resultado.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P1-10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se regula el uso de organizaciones, personas o datos reales ni la presencia de datos personales en el adjunto.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Personajes y datos ficticios por defecto; anonimización; referencia a normativa chilena de protección de datos.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P1-11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considera uso de IA por estudiantes ni declaración de uso de IA en los productos.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Desafíos que exigen evidencia situada; nota de uso de IA en A1/A3; bloque de declaración con cinco elementos.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P1-12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El Filtro de calidad admite respuesta «sí/no» sin evidencia.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Cada pregunta se responde «Sí, porque…» y se registran las correcciones.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P1-13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Sin límites de extensión por artefacto.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Límites por artefacto (A1 ≤ 2 págs.; A2 ≤ 5; A3 ≤ 3; A4 ≤ 6).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P1-14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Sin etiquetado del estatus de las afirmaciones ni rotulado del modo de salida.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Etiquetas [HECHO]/[INTERPRETACIÓN]/[HIPÓTESIS]/[BRECHA] y modos [BACKSTAGE]/[ESTUDIANTIL]/[HERRAMIENTA].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P1-15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especifica formato DUOC UC, APA 7 ni diferenciación de fuentes.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Bloque de formato institucional (carta, Calibri, 1,5, paleta oficial, portada, índice, APA 7).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P1-16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hay mecanismo de evaluación posterior a la aplicación del caso.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Plan de mejora con 3 indicadores y protocolo de piloto con acuerdo entre revisores.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P1-17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La matriz de trazabilidad no incluye ID, ubicación, RA, nivel cognitivo ni criterio de rúbrica.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Matriz ampliada a nueve columnas.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P1-18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El riesgo se detecta solo como caso especial, sin variable ni límite sobre instrucciones operativas.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Variable {{RIESGO}}; prohibición de instrucciones operativas ajenas al adjunto; aviso formativo.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P1-19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«Accesibilidad» se limita a si el perfil puede resolver sin material adicional.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 incorporan lenguaje claro, contraste y diseño inclusivo (DUA).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 (detalle y fundamentos en el producto 03).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4. Diagnóstico del Prompt 2 (Auditoría de informes de IA)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4.1 Fortalezas conservadas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Principio rector de independencia: no favorecer ningún informe por extensión o popularidad.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Secuencia lógica de fases: auditoría, comparación, validación, sesgos, evaluación directiva, puntuación e informe.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Clasificación de hallazgos con justificación obligatoria.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Seis productos orientados a audiencias ejecutivas.</w:t>
      </w:r>
    </w:p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4.2 Brechas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2"/>
        <w:gridCol w:w="864"/>
        <w:gridCol w:w="3888"/>
        <w:gridCol w:w="3816"/>
      </w:tblGrid>
      <w:tr>
        <w:trPr>
          <w:tblHeader w:val="true"/>
        </w:trPr>
        <w:tc>
          <w:tcPr>
            <w:tcW w:type="dxa" w:w="79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864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Sev.</w:t>
            </w:r>
          </w:p>
        </w:tc>
        <w:tc>
          <w:tcPr>
            <w:tcW w:type="dxa" w:w="388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Hallazgo en el original</w:t>
            </w:r>
          </w:p>
        </w:tc>
        <w:tc>
          <w:tcPr>
            <w:tcW w:type="dxa" w:w="381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Cambio en v3.0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P2-01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Crítico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define cómo se entregan informes y datos; no prevé qué hacer si faltan los datos crudos.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Variables de entrada; regla R6 «límite de verificabilidad» con estado «No verificable contra datos».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P2-02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«Panel» de siete expertos simulados: acumulación de personas sin mecanismo que garantice mejor verificación.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Siete pasadas funcionales con criterios propios.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P2-03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Escala de cinco estados que mezcla eje de evidencia con eje de interpretación; sin «Contradicho» ni «No verificable».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Dos ejes: estado de la evidencia (6 valores) y riesgo de interpretación.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P2-04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Escala 1–10 sin anclas, diez criterios solapados (claridad/comprensibilidad; utilidad/valor).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Escala 1–5 con anclas, ocho criterios ponderados, puntuación en dos órdenes y reporte de inestabilidad.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P2-05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«Síntesis superior» y «mejor informe posible» incentivan completar con contenido no respaldado.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Regla R4: el informe final puede ser breve si la evidencia es insuficiente.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P2-06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Crítico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La comparación A vs. B puede tratar la coincidencia como confirmación.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Regla R3: coincidencia no es validez; toda coincidencia se verifica con los datos.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P2-07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El auditor lee los informes antes de analizar los datos.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Línea base independiente antes de comparar.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P2-08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indica qué revisar en encuestas (muestreo, tasa de respuesta, escalas, subgrupos, comparaciones múltiples).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Lista de revisión de diseño y recálculo de indicadores.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P2-09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Los semáforos (Fase 5) no tienen regla de derivación desde la validación (Fase 3).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Regla determinista de mapeo y excepción de seguridad.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P2-10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«Nivel de confianza» sin escala ni criterios.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Escala Alta/Media/Baja con criterios y regla del eslabón más débil.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P2-11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Sin protección frente a instrucciones incrustadas ni declaración de conflicto de interés si el auditor generó uno de los informes.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Reglas R7 y R8.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P2-12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hay identificación de afirmaciones ni de su ubicación en los informes.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Numeración A-xx/B-xx con ubicación y anexo P7.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P2-13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«Formato visual» y «máximo una página» sin especificación operativa.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Tablero en Markdown o HTML monolítico accesible; P6 ≤ 350 palabras.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P2-14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Seis productos en una sola respuesta sin control de extensión.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Entrega por bloques con confirmación intermedia.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P2-15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regula datos personales o confidenciales de encuestas.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Variable {{SENSIBILIDAD_DATOS}}; trabajo con agregados.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P2-16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Sin formato DUOC UC, APA 7 ni declaración de uso de IA.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Bloques de formato institucional y declaración de IA; anexo P7.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P2-17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Sin verificación final previa a la entrega.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Paso 9 con siete preguntas de autocontrol.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P2-18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Mayor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distingue asociación de causalidad.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Regla R9.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P2-19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Sin etiquetado del estatus de afirmaciones propias.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Etiquetas y prohibición de inventar fuentes.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P2-20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Sin protocolo de validación empírica.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Piloto con errores sembrados, sensibilidad, falsos positivos y kappa.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P2-21</w:t>
            </w:r>
          </w:p>
        </w:tc>
        <w:tc>
          <w:tcPr>
            <w:tcW w:type="dxa" w:w="86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Sin manejo de datos deficientes, informes idénticos, informes sobre datos distintos o presión por confirmar.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Sección de situaciones especiales.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P2-22</w:t>
            </w:r>
          </w:p>
        </w:tc>
        <w:tc>
          <w:tcPr>
            <w:tcW w:type="dxa" w:w="86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Menor</w:t>
            </w:r>
          </w:p>
        </w:tc>
        <w:tc>
          <w:tcPr>
            <w:tcW w:type="dxa" w:w="38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La matriz de brechas no prioriza ni asigna responsables o plazos.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 agregan prioridad, responsable sugerido y plazo.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 (detalle y fundamentos en el producto 03).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5. Diseño de las versiones 3.0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5.1 Principios de diseño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Evidencia antes que fluidez:</w:t>
      </w:r>
      <w:r>
        <w:rPr>
          <w:rFonts w:ascii="Calibri" w:hAnsi="Calibri" w:eastAsia="Calibri"/>
          <w:sz w:val="22"/>
        </w:rPr>
        <w:t xml:space="preserve"> toda afirmación se etiqueta como [HECHO], [INTERPRETACIÓN], [HIPÓTESIS] o [BRECHA]; prohibido inventar fuentes, cifras o páginas.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Verificación independiente:</w:t>
      </w:r>
      <w:r>
        <w:rPr>
          <w:rFonts w:ascii="Calibri" w:hAnsi="Calibri" w:eastAsia="Calibri"/>
          <w:sz w:val="22"/>
        </w:rPr>
        <w:t xml:space="preserve"> el auditor calcula su línea base antes de leer los informes; la coincidencia entre IA no confirma por sí sola.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Alineamiento constructivo:</w:t>
      </w:r>
      <w:r>
        <w:rPr>
          <w:rFonts w:ascii="Calibri" w:hAnsi="Calibri" w:eastAsia="Calibri"/>
          <w:sz w:val="22"/>
        </w:rPr>
        <w:t xml:space="preserve"> resultados de aprendizaje, caso, rúbrica y solucionario se diseñan juntos.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Control de flujo explícito:</w:t>
      </w:r>
      <w:r>
        <w:rPr>
          <w:rFonts w:ascii="Calibri" w:hAnsi="Calibri" w:eastAsia="Calibri"/>
          <w:sz w:val="22"/>
        </w:rPr>
        <w:t xml:space="preserve"> compuertas, umbrales y entrega por bloques.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Seguridad de entradas:</w:t>
      </w:r>
      <w:r>
        <w:rPr>
          <w:rFonts w:ascii="Calibri" w:hAnsi="Calibri" w:eastAsia="Calibri"/>
          <w:sz w:val="22"/>
        </w:rPr>
        <w:t xml:space="preserve"> adjuntos, informes y datos son material, no instrucciones.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Trazabilidad y auditabilidad:</w:t>
      </w:r>
      <w:r>
        <w:rPr>
          <w:rFonts w:ascii="Calibri" w:hAnsi="Calibri" w:eastAsia="Calibri"/>
          <w:sz w:val="22"/>
        </w:rPr>
        <w:t xml:space="preserve"> identificadores, ubicaciones y anexos.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Transparencia de IA y estandarización institucional:</w:t>
      </w:r>
      <w:r>
        <w:rPr>
          <w:rFonts w:ascii="Calibri" w:hAnsi="Calibri" w:eastAsia="Calibri"/>
          <w:sz w:val="22"/>
        </w:rPr>
        <w:t xml:space="preserve"> declaración de uso de IA, APA 7, formato Duoc UC.</w:t>
      </w:r>
    </w:p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5.2 Arquitectura comparada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40"/>
        <w:gridCol w:w="1584"/>
        <w:gridCol w:w="2376"/>
        <w:gridCol w:w="1800"/>
        <w:gridCol w:w="2160"/>
      </w:tblGrid>
      <w:tr>
        <w:trPr>
          <w:tblHeader w:val="true"/>
        </w:trPr>
        <w:tc>
          <w:tcPr>
            <w:tcW w:type="dxa" w:w="144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1584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P1 original</w:t>
            </w:r>
          </w:p>
        </w:tc>
        <w:tc>
          <w:tcPr>
            <w:tcW w:type="dxa" w:w="237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P1 v3.0</w:t>
            </w:r>
          </w:p>
        </w:tc>
        <w:tc>
          <w:tcPr>
            <w:tcW w:type="dxa" w:w="180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P2 original</w:t>
            </w:r>
          </w:p>
        </w:tc>
        <w:tc>
          <w:tcPr>
            <w:tcW w:type="dxa" w:w="216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P2 v3.0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Rol</w:t>
            </w:r>
          </w:p>
        </w:tc>
        <w:tc>
          <w:tcPr>
            <w:tcW w:type="dxa" w:w="158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Sí</w:t>
            </w:r>
          </w:p>
        </w:tc>
        <w:tc>
          <w:tcPr>
            <w:tcW w:type="dxa" w:w="237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Sí + precedencia</w:t>
            </w:r>
          </w:p>
        </w:tc>
        <w:tc>
          <w:tcPr>
            <w:tcW w:type="dxa" w:w="180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Panel de 7 personas</w:t>
            </w:r>
          </w:p>
        </w:tc>
        <w:tc>
          <w:tcPr>
            <w:tcW w:type="dxa" w:w="216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7 pasadas funcionales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Entradas</w:t>
            </w:r>
          </w:p>
        </w:tc>
        <w:tc>
          <w:tcPr>
            <w:tcW w:type="dxa" w:w="158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7 variables</w:t>
            </w:r>
          </w:p>
        </w:tc>
        <w:tc>
          <w:tcPr>
            <w:tcW w:type="dxa" w:w="237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10 variables</w:t>
            </w:r>
          </w:p>
        </w:tc>
        <w:tc>
          <w:tcPr>
            <w:tcW w:type="dxa" w:w="180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 definidas</w:t>
            </w:r>
          </w:p>
        </w:tc>
        <w:tc>
          <w:tcPr>
            <w:tcW w:type="dxa" w:w="216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7 variables + regla R6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Flujo</w:t>
            </w:r>
          </w:p>
        </w:tc>
        <w:tc>
          <w:tcPr>
            <w:tcW w:type="dxa" w:w="158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4 fases</w:t>
            </w:r>
          </w:p>
        </w:tc>
        <w:tc>
          <w:tcPr>
            <w:tcW w:type="dxa" w:w="237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4 fases con compuertas G1–G4</w:t>
            </w:r>
          </w:p>
        </w:tc>
        <w:tc>
          <w:tcPr>
            <w:tcW w:type="dxa" w:w="180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7 fases</w:t>
            </w:r>
          </w:p>
        </w:tc>
        <w:tc>
          <w:tcPr>
            <w:tcW w:type="dxa" w:w="216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Pasos 0–9 con autocontrol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Validación</w:t>
            </w:r>
          </w:p>
        </w:tc>
        <w:tc>
          <w:tcPr>
            <w:tcW w:type="dxa" w:w="158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Filtro de 4 preguntas</w:t>
            </w:r>
          </w:p>
        </w:tc>
        <w:tc>
          <w:tcPr>
            <w:tcW w:type="dxa" w:w="237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Filtro con evidencia + aritmética</w:t>
            </w:r>
          </w:p>
        </w:tc>
        <w:tc>
          <w:tcPr>
            <w:tcW w:type="dxa" w:w="180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5 estados</w:t>
            </w:r>
          </w:p>
        </w:tc>
        <w:tc>
          <w:tcPr>
            <w:tcW w:type="dxa" w:w="216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2 ejes, 6 estados, regla de semáforo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Puntuación</w:t>
            </w:r>
          </w:p>
        </w:tc>
        <w:tc>
          <w:tcPr>
            <w:tcW w:type="dxa" w:w="158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Rúbrica 4 niveles</w:t>
            </w:r>
          </w:p>
        </w:tc>
        <w:tc>
          <w:tcPr>
            <w:tcW w:type="dxa" w:w="237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Rúbrica con puntaje y nota</w:t>
            </w:r>
          </w:p>
        </w:tc>
        <w:tc>
          <w:tcPr>
            <w:tcW w:type="dxa" w:w="180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10 criterios, 1–10</w:t>
            </w:r>
          </w:p>
        </w:tc>
        <w:tc>
          <w:tcPr>
            <w:tcW w:type="dxa" w:w="216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8 criterios, 1–5, anclas, doble orden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Seguridad</w:t>
            </w:r>
          </w:p>
        </w:tc>
        <w:tc>
          <w:tcPr>
            <w:tcW w:type="dxa" w:w="158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Alto riesgo</w:t>
            </w:r>
          </w:p>
        </w:tc>
        <w:tc>
          <w:tcPr>
            <w:tcW w:type="dxa" w:w="237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Alto riesgo + datos + adjunto</w:t>
            </w:r>
          </w:p>
        </w:tc>
        <w:tc>
          <w:tcPr>
            <w:tcW w:type="dxa" w:w="180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</w:t>
            </w:r>
          </w:p>
        </w:tc>
        <w:tc>
          <w:tcPr>
            <w:tcW w:type="dxa" w:w="216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R7, R8, datos personales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Formato / IA</w:t>
            </w:r>
          </w:p>
        </w:tc>
        <w:tc>
          <w:tcPr>
            <w:tcW w:type="dxa" w:w="158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</w:t>
            </w:r>
          </w:p>
        </w:tc>
        <w:tc>
          <w:tcPr>
            <w:tcW w:type="dxa" w:w="237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DUOC, APA 7, declaración IA</w:t>
            </w:r>
          </w:p>
        </w:tc>
        <w:tc>
          <w:tcPr>
            <w:tcW w:type="dxa" w:w="180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DUOC, APA 7, declaración IA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Piloto</w:t>
            </w:r>
          </w:p>
        </w:tc>
        <w:tc>
          <w:tcPr>
            <w:tcW w:type="dxa" w:w="158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</w:t>
            </w:r>
          </w:p>
        </w:tc>
        <w:tc>
          <w:tcPr>
            <w:tcW w:type="dxa" w:w="237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Protocolo y umbrales propuestos</w:t>
            </w:r>
          </w:p>
        </w:tc>
        <w:tc>
          <w:tcPr>
            <w:tcW w:type="dxa" w:w="180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No</w:t>
            </w:r>
          </w:p>
        </w:tc>
        <w:tc>
          <w:tcPr>
            <w:tcW w:type="dxa" w:w="216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7"/>
              </w:rPr>
              <w:t>Protocolo y umbrales propuestos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6. Resultados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6.1 Distribución de los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216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Prompt</w:t>
            </w:r>
          </w:p>
        </w:tc>
        <w:tc>
          <w:tcPr>
            <w:tcW w:type="dxa" w:w="144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Crítico</w:t>
            </w:r>
          </w:p>
        </w:tc>
        <w:tc>
          <w:tcPr>
            <w:tcW w:type="dxa" w:w="144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Mayor</w:t>
            </w:r>
          </w:p>
        </w:tc>
        <w:tc>
          <w:tcPr>
            <w:tcW w:type="dxa" w:w="144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Menor</w:t>
            </w:r>
          </w:p>
        </w:tc>
        <w:tc>
          <w:tcPr>
            <w:tcW w:type="dxa" w:w="144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P1</w:t>
            </w:r>
          </w:p>
        </w:tc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P2</w:t>
            </w:r>
          </w:p>
        </w:tc>
        <w:tc>
          <w:tcPr>
            <w:tcW w:type="dxa" w:w="14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  <w:tc>
          <w:tcPr>
            <w:tcW w:type="dxa" w:w="14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13</w:t>
            </w:r>
          </w:p>
        </w:tc>
        <w:tc>
          <w:tcPr>
            <w:tcW w:type="dxa" w:w="14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7</w:t>
            </w:r>
          </w:p>
        </w:tc>
        <w:tc>
          <w:tcPr>
            <w:tcW w:type="dxa" w:w="14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22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24</w:t>
            </w:r>
          </w:p>
        </w:tc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20"/>
              </w:rPr>
              <w:t>41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matriz de trazabilidad de cambios.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6.2 Autoevaluación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32"/>
        <w:gridCol w:w="1296"/>
        <w:gridCol w:w="1296"/>
        <w:gridCol w:w="1368"/>
        <w:gridCol w:w="1368"/>
      </w:tblGrid>
      <w:tr>
        <w:trPr>
          <w:tblHeader w:val="true"/>
        </w:trPr>
        <w:tc>
          <w:tcPr>
            <w:tcW w:type="dxa" w:w="403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(escala 1–5)</w:t>
            </w:r>
          </w:p>
        </w:tc>
        <w:tc>
          <w:tcPr>
            <w:tcW w:type="dxa" w:w="129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 original</w:t>
            </w:r>
          </w:p>
        </w:tc>
        <w:tc>
          <w:tcPr>
            <w:tcW w:type="dxa" w:w="129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 v3.0</w:t>
            </w:r>
          </w:p>
        </w:tc>
        <w:tc>
          <w:tcPr>
            <w:tcW w:type="dxa" w:w="136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 original</w:t>
            </w:r>
          </w:p>
        </w:tc>
        <w:tc>
          <w:tcPr>
            <w:tcW w:type="dxa" w:w="136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 v3.0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Claridad de rol y objetivo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403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Completitud de entradas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1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Criterios de calidad explícitos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03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Mecanismos de validación y control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Robustez (anti-alucinación y seguridad)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03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Alineación institucional (DUOC UC, APA)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1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Operacionalidad (anclas, reglas deterministas)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03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Reutilizabilidad y documentación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Promedio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3,1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4,6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2,0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4,4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 (autoevaluación asistida por IA; no es una medición empírica).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b/>
          <w:sz w:val="22"/>
        </w:rPr>
        <w:t>Interpretación.</w:t>
      </w:r>
      <w:r>
        <w:rPr>
          <w:rFonts w:ascii="Calibri" w:hAnsi="Calibri" w:eastAsia="Calibri"/>
          <w:sz w:val="22"/>
        </w:rPr>
        <w:t xml:space="preserve"> [INTERPRETACIÓN] El mayor avance se observa en P2, cuyo diseño original carecía de definición de entradas, de anclas de puntuación y de reglas de derivación; en P1 el avance proviene sobre todo del alineamiento constructivo, la conversión de nota y la seguridad de entradas. Al ser una autoevaluación realizada con asistencia de IA y por el mismo agente que rediseñó los prompts, existe riesgo de sobreestimación; por ello se incluye el protocolo de piloto.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7. Auditoría de control de calidad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7.1 Comprobaciones documentales automatizadas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2"/>
        <w:gridCol w:w="720"/>
        <w:gridCol w:w="3744"/>
        <w:gridCol w:w="1080"/>
        <w:gridCol w:w="3024"/>
      </w:tblGrid>
      <w:tr>
        <w:trPr>
          <w:tblHeader w:val="true"/>
        </w:trPr>
        <w:tc>
          <w:tcPr>
            <w:tcW w:type="dxa" w:w="79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2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3744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Comprobación</w:t>
            </w:r>
          </w:p>
        </w:tc>
        <w:tc>
          <w:tcPr>
            <w:tcW w:type="dxa" w:w="108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3024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Evidencia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A-P1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Bloques &lt;etiqueta&gt; abiertos y cerrados balanceados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12 bloques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B-P1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Referencias cruzadas a bloques inexistentes</w:t>
            </w:r>
          </w:p>
        </w:tc>
        <w:tc>
          <w:tcPr>
            <w:tcW w:type="dxa" w:w="10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ninguna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A-P2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Bloques &lt;etiqueta&gt; abiertos y cerrados balanceados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12 bloques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B-P2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Referencias cruzadas a bloques inexistentes</w:t>
            </w:r>
          </w:p>
        </w:tc>
        <w:tc>
          <w:tcPr>
            <w:tcW w:type="dxa" w:w="10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ninguna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C-P1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Variables {{…}} usadas están declaradas en variables_de_entrada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10 usadas; sin declarar: ninguna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C-P2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Variables {{…}} usadas están declaradas en variables_de_entrada</w:t>
            </w:r>
          </w:p>
        </w:tc>
        <w:tc>
          <w:tcPr>
            <w:tcW w:type="dxa" w:w="10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8 usadas; sin declarar: ninguna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D-P1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A4 no aparece en la Fase 3 (corrige contradicción original)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Fase 3 contiene solo A1–A3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D0-P1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Contradicción presente en el original (A4 mencionado en Fase 3)</w:t>
            </w:r>
          </w:p>
        </w:tc>
        <w:tc>
          <w:tcPr>
            <w:tcW w:type="dxa" w:w="10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confirma el hallazgo P1-01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E-P1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Conversión a nota 1,0–7,0 (0→1,0; 35→2,5; 70→4,0; 85→5,5; 100→7,0)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0%→1.0; 35%→2.5; 70%→4.0; 85%→5.5; 100%→7.0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E2-P1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La fórmula del prompt coincide con la implementada</w:t>
            </w:r>
          </w:p>
        </w:tc>
        <w:tc>
          <w:tcPr>
            <w:tcW w:type="dxa" w:w="10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texto verificado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F-P2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Los pesos de los criterios suman 100 %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[20, 20, 15, 15, 10, 10, 5, 5] → 100 %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G-P2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Seis estados de evidencia definidos</w:t>
            </w:r>
          </w:p>
        </w:tc>
        <w:tc>
          <w:tcPr>
            <w:tcW w:type="dxa" w:w="10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✅ ⚠️ ❓ ❌ ⛔ 🔒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H-P2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Semáforos 🟢🟡🔴 con regla determinista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regla + excepción presentes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I-P2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Productos P1–P7 definidos</w:t>
            </w:r>
          </w:p>
        </w:tc>
        <w:tc>
          <w:tcPr>
            <w:tcW w:type="dxa" w:w="10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P1–P7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J-P1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Incluye declaración de IA, formato DUOC UC, APA 7, etiquetas epistémicas y protocolo de piloto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5/5 elementos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K-P1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Incluye defensa ante instrucciones incrustadas en datos/adjuntos</w:t>
            </w:r>
          </w:p>
        </w:tc>
        <w:tc>
          <w:tcPr>
            <w:tcW w:type="dxa" w:w="10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regla presente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J-P2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Incluye declaración de IA, formato DUOC UC, APA 7, etiquetas epistémicas y protocolo de piloto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5/5 elementos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K-P2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Incluye defensa ante instrucciones incrustadas en datos/adjuntos</w:t>
            </w:r>
          </w:p>
        </w:tc>
        <w:tc>
          <w:tcPr>
            <w:tcW w:type="dxa" w:w="10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regla presente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L-P1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Referencias del prompt presentes en la bibliografía normalizada (apellido y año)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7 verificadas; faltan: ninguna</w:t>
            </w:r>
          </w:p>
        </w:tc>
      </w:tr>
      <w:tr>
        <w:trPr>
          <w:cantSplit w:val="true"/>
        </w:trPr>
        <w:tc>
          <w:tcPr>
            <w:tcW w:type="dxa" w:w="7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L-P2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Referencias del prompt presentes en la bibliografía normalizada (apellido y año)</w:t>
            </w:r>
          </w:p>
        </w:tc>
        <w:tc>
          <w:tcPr>
            <w:tcW w:type="dxa" w:w="10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5 verificadas; faltan: ninguna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Ambos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Identificadores de cambio únicos y consecutivos</w:t>
            </w:r>
          </w:p>
        </w:tc>
        <w:tc>
          <w:tcPr>
            <w:tcW w:type="dxa" w:w="10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Cumple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41 cambios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script de auditoría reproducible (_build/audit.py). Resultado: 21 de 21 comprobaciones cumplidas.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EEEE"/>
            <w:tcBorders>
              <w:top w:val="nil"/>
              <w:left w:val="single" w:sz="32" w:color="FFB800"/>
              <w:bottom w:val="nil"/>
              <w:right w:val="nil"/>
            </w:tcBorders>
          </w:tcPr>
          <w:p>
            <w:pPr>
              <w:keepNext w:val="0"/>
              <w:spacing w:line="276" w:lineRule="auto" w:before="60" w:after="60"/>
              <w:jc w:val="left"/>
            </w:pPr>
            <w:r>
              <w:rPr>
                <w:rFonts w:ascii="Calibri" w:hAnsi="Calibri"/>
                <w:b/>
                <w:sz w:val="21"/>
              </w:rPr>
              <w:t xml:space="preserve">Alcance. </w:t>
            </w:r>
            <w:r>
              <w:rPr>
                <w:rFonts w:ascii="Calibri" w:hAnsi="Calibri" w:eastAsia="Calibri"/>
                <w:sz w:val="21"/>
              </w:rPr>
              <w:t>Las comprobaciones son estructurales y de coherencia interna. No demuestran que el prompt produzca mejores resultados con un modelo real; eso requiere el piloto descrito en cada prompt.</w:t>
            </w:r>
          </w:p>
        </w:tc>
      </w:tr>
    </w:tbl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7.2 Filtro de calidad (FY)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40"/>
        <w:gridCol w:w="3744"/>
        <w:gridCol w:w="1296"/>
        <w:gridCol w:w="2880"/>
      </w:tblGrid>
      <w:tr>
        <w:trPr>
          <w:tblHeader w:val="true"/>
        </w:trPr>
        <w:tc>
          <w:tcPr>
            <w:tcW w:type="dxa" w:w="144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3744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129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288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Cobertura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¿Se abordaron análisis, optimización, sistematización, bibliografía/IA, estandarización, auditoría, prompts y entregables?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Sí</w:t>
            </w:r>
          </w:p>
        </w:tc>
        <w:tc>
          <w:tcPr>
            <w:tcW w:type="dxa" w:w="28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Productos 01–08 y 41 cambios trazados.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Coherencia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¿Objetivos, cambios, resultados y conclusiones se corresponden?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Sí</w:t>
            </w:r>
          </w:p>
        </w:tc>
        <w:tc>
          <w:tcPr>
            <w:tcW w:type="dxa" w:w="28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Cada cambio tiene ID, fundamento y sección de v3.0.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Aplicabilidad</w:t>
            </w:r>
          </w:p>
        </w:tc>
        <w:tc>
          <w:tcPr>
            <w:tcW w:type="dxa" w:w="3744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¿Es viable con recursos del docente y sin herramientas de compilación?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Sí, con reserva</w:t>
            </w:r>
          </w:p>
        </w:tc>
        <w:tc>
          <w:tcPr>
            <w:tcW w:type="dxa" w:w="288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Archivos TXT/DOCX/XLSX; la longitud de los prompts exige modelos de contexto amplio.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Accesibilidad</w:t>
            </w:r>
          </w:p>
        </w:tc>
        <w:tc>
          <w:tcPr>
            <w:tcW w:type="dxa" w:w="3744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¿Es comprensible para el destinatario?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Sí</w:t>
            </w:r>
          </w:p>
        </w:tc>
        <w:tc>
          <w:tcPr>
            <w:tcW w:type="dxa" w:w="288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Lenguaje formal, tablas y resumen ejecutivo breve.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8. Limitaciones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[BRECHA]</w:t>
      </w:r>
      <w:r>
        <w:rPr>
          <w:rFonts w:ascii="Calibri" w:hAnsi="Calibri" w:eastAsia="Calibri"/>
          <w:sz w:val="22"/>
        </w:rPr>
        <w:t xml:space="preserve"> Sin ensayo empírico: no se ejecutaron los prompts con adjuntos o informes reales.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[BRECHA]</w:t>
      </w:r>
      <w:r>
        <w:rPr>
          <w:rFonts w:ascii="Calibri" w:hAnsi="Calibri" w:eastAsia="Calibri"/>
          <w:sz w:val="22"/>
        </w:rPr>
        <w:t xml:space="preserve"> Referencias no verificadas en línea; se redactaron desde el conocimiento del modelo y requieren comprobación humana.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[BRECHA]</w:t>
      </w:r>
      <w:r>
        <w:rPr>
          <w:rFonts w:ascii="Calibri" w:hAnsi="Calibri" w:eastAsia="Calibri"/>
          <w:sz w:val="22"/>
        </w:rPr>
        <w:t xml:space="preserve"> Logotipo, título exacto de la norma de Bibliotecas Duoc UC y vigencia de la Ley 21.719 por confirmar.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[RIESGO]</w:t>
      </w:r>
      <w:r>
        <w:rPr>
          <w:rFonts w:ascii="Calibri" w:hAnsi="Calibri" w:eastAsia="Calibri"/>
          <w:sz w:val="22"/>
        </w:rPr>
        <w:t xml:space="preserve"> Autoevaluación con posible sobreestimación (el mismo agente rediseña y evalúa).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[RIESGO]</w:t>
      </w:r>
      <w:r>
        <w:rPr>
          <w:rFonts w:ascii="Calibri" w:hAnsi="Calibri" w:eastAsia="Calibri"/>
          <w:sz w:val="22"/>
        </w:rPr>
        <w:t xml:space="preserve"> El aumento de longitud puede reducir el seguimiento de instrucciones en modelos con ventana pequeña.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Los umbrales de aceptación del piloto son propuestas, no estándares normativos.</w:t>
      </w:r>
    </w:p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9. Conclusión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Se cumplieron los objetivos de diagnóstico, optimización, sistematización y auditoría documental. Los prompts v3.0 incorporan controles de verificación, seguridad de entradas, trazabilidad y transparencia de IA ausentes en los originales. La validación de su efecto real queda planteada como hipótesis a contrastar con el protocolo de piloto, y la bibliografía queda sujeta a verificación humana antes de su uso formal.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Referencias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académicas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Anderson, L. W., y Krathwohl, D. R. (Eds.). (2001). </w:t>
      </w:r>
      <w:r>
        <w:rPr>
          <w:rFonts w:ascii="Calibri" w:hAnsi="Calibri" w:eastAsia="Calibri"/>
          <w:i/>
          <w:sz w:val="22"/>
        </w:rPr>
        <w:t>A taxonomy for learning, teaching, and assessing: A revision of Bloom's taxonomy of educational objectives</w:t>
      </w:r>
      <w:r>
        <w:rPr>
          <w:rFonts w:ascii="Calibri" w:hAnsi="Calibri" w:eastAsia="Calibri"/>
          <w:sz w:val="22"/>
        </w:rPr>
        <w:t>. Longman.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Biggs, J. (1996). Enhancing teaching through constructive alignment. </w:t>
      </w:r>
      <w:r>
        <w:rPr>
          <w:rFonts w:ascii="Calibri" w:hAnsi="Calibri" w:eastAsia="Calibri"/>
          <w:i/>
          <w:sz w:val="22"/>
        </w:rPr>
        <w:t>Higher Education, 32</w:t>
      </w:r>
      <w:r>
        <w:rPr>
          <w:rFonts w:ascii="Calibri" w:hAnsi="Calibri" w:eastAsia="Calibri"/>
          <w:sz w:val="22"/>
        </w:rPr>
        <w:t>(3), 347–364. https://doi.org/10.1007/BF00138871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Dhuliawala, S., Komeili, M., Xu, J., Raileanu, R., Li, X., Celikyilmaz, A., y Weston, J. (2023). </w:t>
      </w:r>
      <w:r>
        <w:rPr>
          <w:rFonts w:ascii="Calibri" w:hAnsi="Calibri" w:eastAsia="Calibri"/>
          <w:i/>
          <w:sz w:val="22"/>
        </w:rPr>
        <w:t>Chain-of-verification reduces hallucination in large language models</w:t>
      </w:r>
      <w:r>
        <w:rPr>
          <w:rFonts w:ascii="Calibri" w:hAnsi="Calibri" w:eastAsia="Calibri"/>
          <w:sz w:val="22"/>
        </w:rPr>
        <w:t>. arXiv. https://arxiv.org/abs/2309.11495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Ji, Z., Lee, N., Frieske, R., Yu, T., Su, D., Xu, Y., Ishii, E., Bang, Y. J., Madotto, A., y Fung, P. (2023). Survey of hallucination in natural language generation. </w:t>
      </w:r>
      <w:r>
        <w:rPr>
          <w:rFonts w:ascii="Calibri" w:hAnsi="Calibri" w:eastAsia="Calibri"/>
          <w:i/>
          <w:sz w:val="22"/>
        </w:rPr>
        <w:t>ACM Computing Surveys, 55</w:t>
      </w:r>
      <w:r>
        <w:rPr>
          <w:rFonts w:ascii="Calibri" w:hAnsi="Calibri" w:eastAsia="Calibri"/>
          <w:sz w:val="22"/>
        </w:rPr>
        <w:t>(12), Artículo 248. https://doi.org/10.1145/3571730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Kalyuga, S., Ayres, P., Chandler, P., y Sweller, J. (2003). The expertise reversal effect. </w:t>
      </w:r>
      <w:r>
        <w:rPr>
          <w:rFonts w:ascii="Calibri" w:hAnsi="Calibri" w:eastAsia="Calibri"/>
          <w:i/>
          <w:sz w:val="22"/>
        </w:rPr>
        <w:t>Educational Psychologist, 38</w:t>
      </w:r>
      <w:r>
        <w:rPr>
          <w:rFonts w:ascii="Calibri" w:hAnsi="Calibri" w:eastAsia="Calibri"/>
          <w:sz w:val="22"/>
        </w:rPr>
        <w:t>(1), 23–31. https://doi.org/10.1207/S15326985EP3801_4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Kane, M. T. (2013). Validating the interpretations and uses of test scores. </w:t>
      </w:r>
      <w:r>
        <w:rPr>
          <w:rFonts w:ascii="Calibri" w:hAnsi="Calibri" w:eastAsia="Calibri"/>
          <w:i/>
          <w:sz w:val="22"/>
        </w:rPr>
        <w:t>Journal of Educational Measurement, 50</w:t>
      </w:r>
      <w:r>
        <w:rPr>
          <w:rFonts w:ascii="Calibri" w:hAnsi="Calibri" w:eastAsia="Calibri"/>
          <w:sz w:val="22"/>
        </w:rPr>
        <w:t>(1), 1–73. https://doi.org/10.1111/jedm.12000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Knowles, M. S., Holton, E. F., III, y Swanson, R. A. (2015). </w:t>
      </w:r>
      <w:r>
        <w:rPr>
          <w:rFonts w:ascii="Calibri" w:hAnsi="Calibri" w:eastAsia="Calibri"/>
          <w:i/>
          <w:sz w:val="22"/>
        </w:rPr>
        <w:t>The adult learner: The definitive classic in adult education and human resource development</w:t>
      </w:r>
      <w:r>
        <w:rPr>
          <w:rFonts w:ascii="Calibri" w:hAnsi="Calibri" w:eastAsia="Calibri"/>
          <w:sz w:val="22"/>
        </w:rPr>
        <w:t xml:space="preserve"> (8.ª ed.). Routledge.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Landis, J. R., y Koch, G. G. (1977). The measurement of observer agreement for categorical data. </w:t>
      </w:r>
      <w:r>
        <w:rPr>
          <w:rFonts w:ascii="Calibri" w:hAnsi="Calibri" w:eastAsia="Calibri"/>
          <w:i/>
          <w:sz w:val="22"/>
        </w:rPr>
        <w:t>Biometrics, 33</w:t>
      </w:r>
      <w:r>
        <w:rPr>
          <w:rFonts w:ascii="Calibri" w:hAnsi="Calibri" w:eastAsia="Calibri"/>
          <w:sz w:val="22"/>
        </w:rPr>
        <w:t>(1), 159–174. https://doi.org/10.2307/2529310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Mayer, R. E. (2009). </w:t>
      </w:r>
      <w:r>
        <w:rPr>
          <w:rFonts w:ascii="Calibri" w:hAnsi="Calibri" w:eastAsia="Calibri"/>
          <w:i/>
          <w:sz w:val="22"/>
        </w:rPr>
        <w:t>Multimedia learning</w:t>
      </w:r>
      <w:r>
        <w:rPr>
          <w:rFonts w:ascii="Calibri" w:hAnsi="Calibri" w:eastAsia="Calibri"/>
          <w:sz w:val="22"/>
        </w:rPr>
        <w:t xml:space="preserve"> (2.ª ed.). Cambridge University Press. https://doi.org/10.1017/CBO9780511811678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Nickerson, R. S. (1998). Confirmation bias: A ubiquitous phenomenon in many guises. </w:t>
      </w:r>
      <w:r>
        <w:rPr>
          <w:rFonts w:ascii="Calibri" w:hAnsi="Calibri" w:eastAsia="Calibri"/>
          <w:i/>
          <w:sz w:val="22"/>
        </w:rPr>
        <w:t>Review of General Psychology, 2</w:t>
      </w:r>
      <w:r>
        <w:rPr>
          <w:rFonts w:ascii="Calibri" w:hAnsi="Calibri" w:eastAsia="Calibri"/>
          <w:sz w:val="22"/>
        </w:rPr>
        <w:t>(2), 175–220. https://doi.org/10.1037/1089-2680.2.2.175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Sharma, M., Tong, M., Korbak, T., Duvenaud, D., Askell, A., Bowman, S. R., et al. (2023). </w:t>
      </w:r>
      <w:r>
        <w:rPr>
          <w:rFonts w:ascii="Calibri" w:hAnsi="Calibri" w:eastAsia="Calibri"/>
          <w:i/>
          <w:sz w:val="22"/>
        </w:rPr>
        <w:t>Towards understanding sycophancy in language models</w:t>
      </w:r>
      <w:r>
        <w:rPr>
          <w:rFonts w:ascii="Calibri" w:hAnsi="Calibri" w:eastAsia="Calibri"/>
          <w:sz w:val="22"/>
        </w:rPr>
        <w:t>. arXiv. https://arxiv.org/abs/2310.13548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Sweller, J. (1988). Cognitive load during problem solving: Effects on learning. </w:t>
      </w:r>
      <w:r>
        <w:rPr>
          <w:rFonts w:ascii="Calibri" w:hAnsi="Calibri" w:eastAsia="Calibri"/>
          <w:i/>
          <w:sz w:val="22"/>
        </w:rPr>
        <w:t>Cognitive Science, 12</w:t>
      </w:r>
      <w:r>
        <w:rPr>
          <w:rFonts w:ascii="Calibri" w:hAnsi="Calibri" w:eastAsia="Calibri"/>
          <w:sz w:val="22"/>
        </w:rPr>
        <w:t>(2), 257–285. https://doi.org/10.1207/s15516709cog1202_4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Tversky, A., y Kahneman, D. (1974). Judgment under uncertainty: Heuristics and biases. </w:t>
      </w:r>
      <w:r>
        <w:rPr>
          <w:rFonts w:ascii="Calibri" w:hAnsi="Calibri" w:eastAsia="Calibri"/>
          <w:i/>
          <w:sz w:val="22"/>
        </w:rPr>
        <w:t>Science, 185</w:t>
      </w:r>
      <w:r>
        <w:rPr>
          <w:rFonts w:ascii="Calibri" w:hAnsi="Calibri" w:eastAsia="Calibri"/>
          <w:sz w:val="22"/>
        </w:rPr>
        <w:t>(4157), 1124–1131. https://doi.org/10.1126/science.185.4157.1124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Wood, D., Bruner, J. S., y Ross, G. (1976). The role of tutoring in problem solving. </w:t>
      </w:r>
      <w:r>
        <w:rPr>
          <w:rFonts w:ascii="Calibri" w:hAnsi="Calibri" w:eastAsia="Calibri"/>
          <w:i/>
          <w:sz w:val="22"/>
        </w:rPr>
        <w:t>Journal of Child Psychology and Psychiatry, 17</w:t>
      </w:r>
      <w:r>
        <w:rPr>
          <w:rFonts w:ascii="Calibri" w:hAnsi="Calibri" w:eastAsia="Calibri"/>
          <w:sz w:val="22"/>
        </w:rPr>
        <w:t>(2), 89–100. https://doi.org/10.1111/j.1469-7610.1976.tb00381.x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Zheng, L., Chiang, W.-L., Sheng, Y., Zhuang, S., Wu, Z., Zhuang, Y., et al. (2023). </w:t>
      </w:r>
      <w:r>
        <w:rPr>
          <w:rFonts w:ascii="Calibri" w:hAnsi="Calibri" w:eastAsia="Calibri"/>
          <w:i/>
          <w:sz w:val="22"/>
        </w:rPr>
        <w:t>Judging LLM-as-a-judge with MT-Bench and Chatbot Arena</w:t>
      </w:r>
      <w:r>
        <w:rPr>
          <w:rFonts w:ascii="Calibri" w:hAnsi="Calibri" w:eastAsia="Calibri"/>
          <w:sz w:val="22"/>
        </w:rPr>
        <w:t>. arXiv. https://arxiv.org/abs/2306.05685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Zheng, M., Pei, J., Logeswaran, L., Lee, M., y Jurgens, D. (2024). </w:t>
      </w:r>
      <w:r>
        <w:rPr>
          <w:rFonts w:ascii="Calibri" w:hAnsi="Calibri" w:eastAsia="Calibri"/>
          <w:i/>
          <w:sz w:val="22"/>
        </w:rPr>
        <w:t>When “a helpful assistant” is not really helpful: Personas in system prompts do not improve performances of large language models</w:t>
      </w:r>
      <w:r>
        <w:rPr>
          <w:rFonts w:ascii="Calibri" w:hAnsi="Calibri" w:eastAsia="Calibri"/>
          <w:sz w:val="22"/>
        </w:rPr>
        <w:t>. arXiv. https://arxiv.org/abs/2311.10054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Norma de citación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American Psychological Association. (2020). </w:t>
      </w:r>
      <w:r>
        <w:rPr>
          <w:rFonts w:ascii="Calibri" w:hAnsi="Calibri" w:eastAsia="Calibri"/>
          <w:i/>
          <w:sz w:val="22"/>
        </w:rPr>
        <w:t>Publication manual of the American Psychological Association</w:t>
      </w:r>
      <w:r>
        <w:rPr>
          <w:rFonts w:ascii="Calibri" w:hAnsi="Calibri" w:eastAsia="Calibri"/>
          <w:sz w:val="22"/>
        </w:rPr>
        <w:t xml:space="preserve"> (7.ª ed.). https://doi.org/10.1037/0000165-000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normativas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>Ley 19.628 de 1999. Sobre protección de la vida privada. Diario Oficial de la República de Chile.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>Ley 21.719 de 2024. Regula la protección y el tratamiento de los datos personales y crea la Agencia de Protección de Datos Personales. Diario Oficial de la República de Chile.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institucionales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Duoc UC. (s. f.). </w:t>
      </w:r>
      <w:r>
        <w:rPr>
          <w:rFonts w:ascii="Calibri" w:hAnsi="Calibri" w:eastAsia="Calibri"/>
          <w:i/>
          <w:sz w:val="22"/>
        </w:rPr>
        <w:t>Normas de presentación de trabajos escritos</w:t>
      </w:r>
      <w:r>
        <w:rPr>
          <w:rFonts w:ascii="Calibri" w:hAnsi="Calibri" w:eastAsia="Calibri"/>
          <w:sz w:val="22"/>
        </w:rPr>
        <w:t xml:space="preserve"> [Documento institucional de Bibliotecas Duoc UC].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Material analizado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Carrasco Navarrete, J. A. (s. f.-a). </w:t>
      </w:r>
      <w:r>
        <w:rPr>
          <w:rFonts w:ascii="Calibri" w:hAnsi="Calibri" w:eastAsia="Calibri"/>
          <w:i/>
          <w:sz w:val="22"/>
        </w:rPr>
        <w:t>Instrucción de sistema: GEM — Arquitecto Pedagógico de Casos Situados, v2.0</w:t>
      </w:r>
      <w:r>
        <w:rPr>
          <w:rFonts w:ascii="Calibri" w:hAnsi="Calibri" w:eastAsia="Calibri"/>
          <w:sz w:val="22"/>
        </w:rPr>
        <w:t xml:space="preserve"> [Documento inédito].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Carrasco Navarrete, J. A. (s. f.-b). </w:t>
      </w:r>
      <w:r>
        <w:rPr>
          <w:rFonts w:ascii="Calibri" w:hAnsi="Calibri" w:eastAsia="Calibri"/>
          <w:i/>
          <w:sz w:val="22"/>
        </w:rPr>
        <w:t>Prompt maestro nivel dirección ejecutiva y auditoría científica de resultados de IA</w:t>
      </w:r>
      <w:r>
        <w:rPr>
          <w:rFonts w:ascii="Calibri" w:hAnsi="Calibri" w:eastAsia="Calibri"/>
          <w:sz w:val="22"/>
        </w:rPr>
        <w:t xml:space="preserve"> [Documento inédito].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técnicas y herramientas de IA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Anthropic. (2026). </w:t>
      </w:r>
      <w:r>
        <w:rPr>
          <w:rFonts w:ascii="Calibri" w:hAnsi="Calibri" w:eastAsia="Calibri"/>
          <w:i/>
          <w:sz w:val="22"/>
        </w:rPr>
        <w:t>Claude Sonnet 5.5</w:t>
      </w:r>
      <w:r>
        <w:rPr>
          <w:rFonts w:ascii="Calibri" w:hAnsi="Calibri" w:eastAsia="Calibri"/>
          <w:sz w:val="22"/>
        </w:rPr>
        <w:t xml:space="preserve"> (versión de octubre) [Modelo de lenguaje de gran tamaño]. https://claude.ai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McAdoo, T. (2023, 7 de abril). </w:t>
      </w:r>
      <w:r>
        <w:rPr>
          <w:rFonts w:ascii="Calibri" w:hAnsi="Calibri" w:eastAsia="Calibri"/>
          <w:i/>
          <w:sz w:val="22"/>
        </w:rPr>
        <w:t>How to cite ChatGPT</w:t>
      </w:r>
      <w:r>
        <w:rPr>
          <w:rFonts w:ascii="Calibri" w:hAnsi="Calibri" w:eastAsia="Calibri"/>
          <w:sz w:val="22"/>
        </w:rPr>
        <w:t>. APA Style. https://apastyle.apa.org/blog/how-to-cite-chatgpt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Anexo A. Glosario de etiquetas y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Etiqueta</w:t>
            </w:r>
          </w:p>
        </w:tc>
        <w:tc>
          <w:tcPr>
            <w:tcW w:type="dxa" w:w="676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[HECHO]</w:t>
            </w:r>
          </w:p>
        </w:tc>
        <w:tc>
          <w:tcPr>
            <w:tcW w:type="dxa" w:w="67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Dato validado en el adjunto, en los datos o en una fuente verificable.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[INTERPRETACIÓN]</w:t>
            </w:r>
          </w:p>
        </w:tc>
        <w:tc>
          <w:tcPr>
            <w:tcW w:type="dxa" w:w="67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Deducción razonada sujeta a contexto.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[HIPÓTESIS]</w:t>
            </w:r>
          </w:p>
        </w:tc>
        <w:tc>
          <w:tcPr>
            <w:tcW w:type="dxa" w:w="67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Proposición pendiente de contrastación.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[BRECHA]</w:t>
            </w:r>
          </w:p>
        </w:tc>
        <w:tc>
          <w:tcPr>
            <w:tcW w:type="dxa" w:w="67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Vacío de información o riesgo no cubierto.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[CONFLICTO]</w:t>
            </w:r>
          </w:p>
        </w:tc>
        <w:tc>
          <w:tcPr>
            <w:tcW w:type="dxa" w:w="67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Contradicción entre instrucciones o fuentes que requiere decisión humana.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[ALERTA DE CONTENIDO]</w:t>
            </w:r>
          </w:p>
        </w:tc>
        <w:tc>
          <w:tcPr>
            <w:tcW w:type="dxa" w:w="67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Instrucción incrustada en un adjunto o informe; se registra y no se ejecuta.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[VERIFICAR]</w:t>
            </w:r>
          </w:p>
        </w:tc>
        <w:tc>
          <w:tcPr>
            <w:tcW w:type="dxa" w:w="67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Dato o referencia no comprobado que no debe citarse sin revisión.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Anexo B. Declaración de uso de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EEEE"/>
            <w:tcBorders>
              <w:top w:val="nil"/>
              <w:left w:val="single" w:sz="32" w:color="FFB800"/>
              <w:bottom w:val="nil"/>
              <w:right w:val="nil"/>
            </w:tcBorders>
          </w:tcPr>
          <w:p>
            <w:pPr>
              <w:keepNext w:val="0"/>
              <w:spacing w:line="276" w:lineRule="auto" w:before="60" w:after="60"/>
              <w:jc w:val="left"/>
            </w:pPr>
            <w:r>
              <w:rPr>
                <w:rFonts w:ascii="Calibri" w:hAnsi="Calibri"/>
                <w:b/>
                <w:sz w:val="21"/>
              </w:rPr>
              <w:t xml:space="preserve">Declaración de uso de IA. </w:t>
            </w:r>
            <w:r>
              <w:rPr>
                <w:rFonts w:ascii="Calibri" w:hAnsi="Calibri" w:eastAsia="Calibri"/>
                <w:sz w:val="21"/>
              </w:rPr>
              <w:t>Este documento se elaboró con asistencia de Claude Sonnet 5.5 (Anthropic), mediante Claude Code, el 19 de octubre de 2026, para analizar, redactar y sistematizar. La verificación humana de contenido y fuentes está pendiente de realización por el autor, quien asume la responsabilidad final. Detalle completo en el archivo 05_Declaracion_Uso_IA.</w:t>
            </w:r>
          </w:p>
        </w:tc>
      </w:tr>
    </w:tbl>
    <w:p>
      <w:pPr>
        <w:keepNext w:val="0"/>
        <w:spacing w:line="360" w:lineRule="auto" w:before="0" w:after="0"/>
        <w:jc w:val="both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Informe técnico · Optimización de prompts  |  </w:t>
    </w:r>
    <w:r>
      <w:rPr>
        <w:rFonts w:ascii="Calibri" w:hAnsi="Calibri"/>
        <w:color w:val="666666"/>
        <w:sz w:val="20"/>
      </w:rPr>
      <w:fldChar w:fldCharType="begin"/>
    </w:r>
    <w:r>
      <w:rPr>
        <w:rFonts w:ascii="Calibri" w:hAnsi="Calibri"/>
        <w:color w:val="666666"/>
        <w:sz w:val="20"/>
      </w:rPr>
      <w:instrText xml:space="preserve">PAGE</w:instrText>
    </w:r>
    <w:r>
      <w:rPr>
        <w:rFonts w:ascii="Calibri" w:hAnsi="Calibri"/>
        <w:color w:val="666666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Análisis Y Auditoría De Prompts</dc:title>
  <dc:subject/>
  <dc:creator>Juan Antonio Carrasco Navarrete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