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jc w:val="left"/>
      </w:pPr>
      <w:r>
        <w:rPr>
          <w:rFonts w:ascii="Calibri" w:hAnsi="Calibri" w:eastAsia="Calibri"/>
          <w:color w:val="666666"/>
          <w:sz w:val="18"/>
        </w:rPr>
        <w:t>[Insertar logotipo oficial Duoc UC en esta esquina]</w:t>
      </w:r>
    </w:p>
    <w:p/>
    <w:p/>
    <w:p/>
    <w:p/>
    <w:p/>
    <w:p>
      <w:pPr>
        <w:keepNext w:val="0"/>
        <w:spacing w:line="276" w:lineRule="auto" w:before="0" w:after="200"/>
        <w:jc w:val="center"/>
        <w:pBdr>
          <w:bottom w:val="single" w:sz="18" w:space="8" w:color="FFB800"/>
        </w:pBdr>
      </w:pPr>
      <w:r>
        <w:rPr>
          <w:rFonts w:ascii="Calibri" w:hAnsi="Calibri"/>
          <w:b/>
          <w:color w:val="1A1A1A"/>
          <w:sz w:val="28"/>
        </w:rPr>
        <w:t>MATRIZ DE TRAZABILIDAD DE CAMBIOS</w:t>
      </w:r>
    </w:p>
    <w:p/>
    <w:p/>
    <w:p/>
    <w:p/>
    <w:p/>
    <w:p/>
    <w:p/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Autor: </w:t>
      </w:r>
      <w:r>
        <w:rPr>
          <w:rFonts w:ascii="Calibri" w:hAnsi="Calibri"/>
          <w:sz w:val="28"/>
        </w:rPr>
        <w:t>Juan Antonio Carrasco Navarrete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Unidad: </w:t>
      </w:r>
      <w:r>
        <w:rPr>
          <w:rFonts w:ascii="Calibri" w:hAnsi="Calibri"/>
          <w:sz w:val="28"/>
        </w:rPr>
        <w:t>Escuela de Administración y Negocios, Sede San Bernardo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Proyecto: </w:t>
      </w:r>
      <w:r>
        <w:rPr>
          <w:rFonts w:ascii="Calibri" w:hAnsi="Calibri"/>
          <w:sz w:val="28"/>
        </w:rPr>
        <w:t>Ingeniería de prompts para diseño instruccional y auditoría de IA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Fecha: </w:t>
      </w:r>
      <w:r>
        <w:rPr>
          <w:rFonts w:ascii="Calibri" w:hAnsi="Calibri"/>
          <w:sz w:val="28"/>
        </w:rPr>
        <w:t>19 de octubre de 2026</w:t>
      </w:r>
    </w:p>
    <w:p>
      <w:pPr>
        <w:keepNext w:val="0"/>
        <w:spacing w:line="276" w:lineRule="auto" w:before="0" w:after="80"/>
        <w:jc w:val="center"/>
      </w:pPr>
      <w:r>
        <w:rPr>
          <w:rFonts w:ascii="Calibri" w:hAnsi="Calibri"/>
          <w:b/>
          <w:sz w:val="28"/>
        </w:rPr>
        <w:t xml:space="preserve">Producto: </w:t>
      </w:r>
      <w:r>
        <w:rPr>
          <w:rFonts w:ascii="Calibri" w:hAnsi="Calibri"/>
          <w:sz w:val="28"/>
        </w:rPr>
        <w:t>03 · Matriz de trazabilidad</w:t>
      </w:r>
    </w:p>
    <w:p>
      <w:r>
        <w:br w:type="page"/>
      </w:r>
    </w:p>
    <w:p>
      <w:pPr>
        <w:keepNext w:val="0"/>
        <w:spacing w:line="276" w:lineRule="auto" w:before="0" w:after="24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sz w:val="30"/>
        </w:rPr>
        <w:t>Índice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1. Introducción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2. Matriz del Prompt 1</w:t>
        <w:tab/>
        <w:t>3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3. Matriz del Prompt 2</w:t>
        <w:tab/>
        <w:t>4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4. Elementos conservados sin cambios</w:t>
        <w:tab/>
        <w:t>6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Referencias</w:t>
        <w:tab/>
        <w:t>6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académicas</w:t>
        <w:tab/>
        <w:t>6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Norma de citación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normativas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institucionales</w:t>
        <w:tab/>
        <w:t>7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Material analizado</w:t>
        <w:tab/>
        <w:t>8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432"/>
        <w:jc w:val="left"/>
      </w:pPr>
      <w:r>
        <w:rPr>
          <w:rFonts w:ascii="Calibri" w:hAnsi="Calibri"/>
          <w:b w:val="0"/>
          <w:sz w:val="22"/>
        </w:rPr>
        <w:t>Fuentes técnicas y herramientas de IA</w:t>
        <w:tab/>
        <w:t>8</w:t>
      </w:r>
    </w:p>
    <w:p>
      <w:pPr>
        <w:keepNext w:val="0"/>
        <w:tabs>
          <w:tab w:pos="9360" w:val="right" w:leader="dot"/>
        </w:tabs>
        <w:spacing w:line="312" w:lineRule="auto" w:before="0" w:after="40"/>
        <w:ind w:left="0"/>
        <w:jc w:val="left"/>
      </w:pPr>
      <w:r>
        <w:rPr>
          <w:rFonts w:ascii="Calibri" w:hAnsi="Calibri"/>
          <w:b/>
          <w:sz w:val="22"/>
        </w:rPr>
        <w:t>Anexo A. Declaración de uso de IA</w:t>
        <w:tab/>
        <w:t>8</w:t>
      </w:r>
    </w:p>
    <w:p>
      <w:r>
        <w:br w:type="page"/>
      </w:r>
    </w:p>
    <w:p/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1. Introducción</w:t>
      </w:r>
    </w:p>
    <w:p>
      <w:pPr>
        <w:keepNext w:val="0"/>
        <w:spacing w:line="360" w:lineRule="auto" w:before="0" w:after="120"/>
        <w:jc w:val="both"/>
      </w:pPr>
      <w:r>
        <w:rPr>
          <w:rFonts w:ascii="Calibri" w:hAnsi="Calibri" w:eastAsia="Calibri"/>
          <w:sz w:val="22"/>
        </w:rPr>
        <w:t>La matriz registra los 41 cambios entre las versiones originales y las versiones 3.0. Cada fila vincula el hallazgo observado en el original con el cambio realizado, su fundamento y la sección donde se aplica. También se entrega en formato XLSX filtrable (03_Matriz_Trazabilidad_Cambios.xlsx).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Criterio. </w:t>
            </w:r>
            <w:r>
              <w:rPr>
                <w:rFonts w:ascii="Calibri" w:hAnsi="Calibri" w:eastAsia="Calibri"/>
                <w:sz w:val="21"/>
              </w:rPr>
              <w:t>Severidad: Crítico = puede producir resultados erróneos o dañinos sin detección; Mayor = degrada calidad, seguridad o auditabilidad; Menor = mejora de precisión o usabilidad.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2. Matriz del Prompt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720"/>
        <w:gridCol w:w="2592"/>
        <w:gridCol w:w="2592"/>
        <w:gridCol w:w="1728"/>
        <w:gridCol w:w="1008"/>
      </w:tblGrid>
      <w:tr>
        <w:trPr>
          <w:tblHeader w:val="true"/>
        </w:trPr>
        <w:tc>
          <w:tcPr>
            <w:tcW w:type="dxa" w:w="72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2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Sev.</w:t>
            </w:r>
          </w:p>
        </w:tc>
        <w:tc>
          <w:tcPr>
            <w:tcW w:type="dxa" w:w="25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Hallazgo en el original</w:t>
            </w:r>
          </w:p>
        </w:tc>
        <w:tc>
          <w:tcPr>
            <w:tcW w:type="dxa" w:w="25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Cambio en v3.0</w:t>
            </w:r>
          </w:p>
        </w:tc>
        <w:tc>
          <w:tcPr>
            <w:tcW w:type="dxa" w:w="172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Fundamento</w:t>
            </w:r>
          </w:p>
        </w:tc>
        <w:tc>
          <w:tcPr>
            <w:tcW w:type="dxa" w:w="100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Sección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Fase 3 ordena generar «A1 → A2 → A3 → A4», pero A4 está definido en la Fase 4.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 3 limitada a A1–A3; A4 exclusivo de la Fase 4.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Consistencia lógica; evita ejecución ambigua.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 3 / Fase 4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alternan «Resultados de aprendizaje» y «RAE»; el perfil institucional usa también RAP.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unifica «RA» y se define en variables de entrada.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Precisión semántica.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 de entrada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P1-03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rúbrica se produce al final (A3) y su equivalencia institucional recién en A4; el caso se diseña antes que la evaluación.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rúbrica preliminar se diseña en la Fase 2, antes de redactar el caso, y se verifica su identidad en la compuerta G3.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Alineamiento constructivo (Biggs, 1996).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Principio P6; Fase 2; G3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P1-04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declara «exigencia base 70 %» pero no se define la conversión a nota 1,0–7,0 ni puntajes por nivel.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agrega puntaje por nivel, umbral de aprobación y fórmula lineal por tramos (4,0 al 70 %), a confirmar con la institución.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Aplicabilidad y calificación sin reinterpretar criterios.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 3 (A3); Fase 4 (A4)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P1-05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hay jerarquía entre instrucciones ni defensa ante órdenes incrustadas en el adjunto.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agregan reglas de precedencia y tratamiento del adjunto como datos, con etiquetas [CONFLICTO] y [ALERTA DE CONTENIDO].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Mitigación de inyección de instrucciones; control de calidad.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Reglas de precedencia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P1-06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«Cuando la fase lo exige» y «si la extensión es grande» son criterios ambiguos.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Compuertas G1–G4 con checklist; umbral explícito de 8 páginas para dividir la entrega.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Instrucciones operativas verificables.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Fases 1–4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P1-07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se declara el nivel cognitivo buscado; D1–D4 no se vinculan a una taxonomía.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 {{NIVEL_COGNITIVO_OBJETIVO}} y mapeo D1 Analizar, D2 Aplicar, D3 Evaluar, D4 Crear; columna Bloom en la matriz.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Taxonomía revisada (Anderson y Krathwohl, 2001).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Variables; A2; Ingesta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P1-08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«Empatía pedagógica» presume vacíos de base; puede resultar infantilizante para adultos con experiencia laboral.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Andamiaje ajustable según experiencia y principios andragógicos; se conserva la seguridad psicológica.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Efecto de inversión de la experticia (Kalyuga et al., 2003); andragogía (Knowles et al., 2015).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P2; P5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P1-09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exige coherencia aritmética pero no existe un paso que la verifique.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Verificación aritmética obligatoria en Fase 2 y en el solucionario, con declaración explícita del resultado.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Prevención de errores de cálculo en material de aula.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 2; Q2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P1-10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se regula el uso de organizaciones, personas o datos reales ni la presencia de datos personales en el adjunto.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Personajes y datos ficticios por defecto; anonimización; referencia a normativa chilena de protección de datos.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Ley 19.628 y Ley 21.719 (Chile).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Fase 2; Situaciones especiales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considera uso de IA por estudiantes ni declaración de uso de IA en los productos.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Desafíos que exigen evidencia situada; nota de uso de IA en A1/A3; bloque de declaración con cinco elementos.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Directrices de citación de IA generativa (APA).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P7; Declaración IA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El Filtro de calidad admite respuesta «sí/no» sin evidencia.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Cada pregunta se responde «Sí, porque…» y se registran las correcciones.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Auditabilidad.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Q5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P1-13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límites de extensión por artefacto.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Límites por artefacto (A1 ≤ 2 págs.; A2 ≤ 5; A3 ≤ 3; A4 ≤ 6).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Carga cognitiva controlada (Sweller, 1988; Mayer, 2009).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P3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P1-14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etiquetado del estatus de las afirmaciones ni rotulado del modo de salida.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Etiquetas [HECHO]/[INTERPRETACIÓN]/[HIPÓTESIS]/[BRECHA] y modos [BACKSTAGE]/[ESTUDIANTIL]/[HERRAMIENTA].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Transparencia epistémica.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Q7; Inicio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P1-15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especifica formato DUOC UC, APA 7 ni diferenciación de fuentes.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Bloque de formato institucional (carta, Calibri, 1,5, paleta oficial, portada, índice, APA 7).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Norma de Bibliotecas Duoc UC; APA 7.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Formato institucional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P1-16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hay mecanismo de evaluación posterior a la aplicación del caso.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Plan de mejora con 3 indicadores y protocolo de piloto con acuerdo entre revisores.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Validación empírica (Landis y Koch, 1977; Kane, 2013).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A4; Protocolo de piloto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P1-17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matriz de trazabilidad no incluye ID, ubicación, RA, nivel cognitivo ni criterio de rúbrica.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Matriz ampliada a nueve columnas.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Trazabilidad auditable.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Ingesta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P1-18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El riesgo se detecta solo como caso especial, sin variable ni límite sobre instrucciones operativas.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 {{RIESGO}}; prohibición de instrucciones operativas ajenas al adjunto; aviso formativo.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Seguridad de las personas.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Variables; Situaciones especiales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P1-19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«Accesibilidad» se limita a si el perfil puede resolver sin material adicional.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incorporan lenguaje claro, contraste y diseño inclusivo (DUA).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Diseño universal para el aprendizaje.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Q5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3. Matriz del Prompt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720"/>
        <w:gridCol w:w="2592"/>
        <w:gridCol w:w="2592"/>
        <w:gridCol w:w="1728"/>
        <w:gridCol w:w="1008"/>
      </w:tblGrid>
      <w:tr>
        <w:trPr>
          <w:tblHeader w:val="true"/>
        </w:trPr>
        <w:tc>
          <w:tcPr>
            <w:tcW w:type="dxa" w:w="72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20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Sev.</w:t>
            </w:r>
          </w:p>
        </w:tc>
        <w:tc>
          <w:tcPr>
            <w:tcW w:type="dxa" w:w="25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Hallazgo en el original</w:t>
            </w:r>
          </w:p>
        </w:tc>
        <w:tc>
          <w:tcPr>
            <w:tcW w:type="dxa" w:w="2592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Cambio en v3.0</w:t>
            </w:r>
          </w:p>
        </w:tc>
        <w:tc>
          <w:tcPr>
            <w:tcW w:type="dxa" w:w="172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Fundamento</w:t>
            </w:r>
          </w:p>
        </w:tc>
        <w:tc>
          <w:tcPr>
            <w:tcW w:type="dxa" w:w="1008"/>
            <w:shd w:val="clear" w:color="auto" w:fill="1A1A1A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Sección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Crítico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define cómo se entregan informes y datos; no prevé qué hacer si faltan los datos crudos.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 de entrada; regla R6 «límite de verificabilidad» con estado «No verificable contra datos».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Evita falsa verificación.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Variables; R6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«Panel» de siete expertos simulados: acumulación de personas sin mecanismo que garantice mejor verificación.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Siete pasadas funcionales con criterios propios.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Evidencia reciente indica que asignar personas no mejora de forma consistente la precisión (Zheng, M. et al., 2024) [VERIFICAR].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Rol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P2-03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Escala de cinco estados que mezcla eje de evidencia con eje de interpretación; sin «Contradicho» ni «No verificable».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Dos ejes: estado de la evidencia (6 valores) y riesgo de interpretación.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Claridad lógica de categorías.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4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P2-04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Escala 1–10 sin anclas, diez criterios solapados (claridad/comprensibilidad; utilidad/valor).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Escala 1–5 con anclas, ocho criterios ponderados, puntuación en dos órdenes y reporte de inestabilidad.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Sesgos de posición y verbosidad en evaluación con LLM (Zheng, L. et al., 2023).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7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P2-05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«Síntesis superior» y «mejor informe posible» incentivan completar con contenido no respaldado.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R4: el informe final puede ser breve si la evidencia es insuficiente.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Reducción de complacencia (Sharma et al., 2023).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R4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P2-06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Crítico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comparación A vs. B puede tratar la coincidencia como confirmación.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R3: coincidencia no es validez; toda coincidencia se verifica con los datos.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Errores correlacionados entre modelos.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R3; Paso 3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P2-07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El auditor lee los informes antes de analizar los datos.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Línea base independiente antes de comparar.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Sesgo de anclaje (Tversky y Kahneman, 1974).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1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P2-08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indica qué revisar en encuestas (muestreo, tasa de respuesta, escalas, subgrupos, comparaciones múltiples).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Lista de revisión de diseño y recálculo de indicadores.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Validez inferencial.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1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P2-09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Los semáforos (Fase 5) no tienen regla de derivación desde la validación (Fase 3).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determinista de mapeo y excepción de seguridad.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Reproducibilidad.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6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P2-10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«Nivel de confianza» sin escala ni criterios.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Escala Alta/Media/Baja con criterios y regla del eslabón más débil.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Auditabilidad.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Escala de confianza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protección frente a instrucciones incrustadas ni declaración de conflicto de interés si el auditor generó uno de los informes.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Reglas R7 y R8.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Mitigación de autopreferencia y de inyección.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R7; R8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hay identificación de afirmaciones ni de su ubicación en los informes.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Numeración A-xx/B-xx con ubicación y anexo P7.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Trazabilidad evidencia→conclusión.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0; P7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P2-13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«Formato visual» y «máximo una página» sin especificación operativa.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Tablero en Markdown o HTML monolítico accesible; P6 ≤ 350 palabras.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Operacionalización.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P5; P6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P2-14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Seis productos en una sola respuesta sin control de extensión.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Entrega por bloques con confirmación intermedia.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Carga y calidad de salida.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Productos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P2-15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regula datos personales o confidenciales de encuestas.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 {{SENSIBILIDAD_DATOS}}; trabajo con agregados.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Ley 19.628 y Ley 21.719 (Chile).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Variables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P2-16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formato DUOC UC, APA 7 ni declaración de uso de IA.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Bloques de formato institucional y declaración de IA; anexo P7.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Norma Duoc UC; APA 7.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Formato; Declaración IA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P2-17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verificación final previa a la entrega.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9 con siete preguntas de autocontrol.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Verificación guiada (Dhuliawala et al., 2023).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Paso 9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P2-18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Mayor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No distingue asociación de causalidad.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Regla R9.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Validez de conclusiones.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R9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P2-19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etiquetado del estatus de afirmaciones propias.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Etiquetas y prohibición de inventar fuentes.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Anti-alucinación (Ji et al., 2023).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R5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P2-20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protocolo de validación empírica.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Piloto con errores sembrados, sensibilidad, falsos positivos y kappa.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Landis y Koch (1977).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Protocolo de piloto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P2-21</w:t>
            </w:r>
          </w:p>
        </w:tc>
        <w:tc>
          <w:tcPr>
            <w:tcW w:type="dxa" w:w="720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Sin manejo de datos deficientes, informes idénticos, informes sobre datos distintos o presión por confirmar.</w:t>
            </w:r>
          </w:p>
        </w:tc>
        <w:tc>
          <w:tcPr>
            <w:tcW w:type="dxa" w:w="2592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Sección de situaciones especiales.</w:t>
            </w:r>
          </w:p>
        </w:tc>
        <w:tc>
          <w:tcPr>
            <w:tcW w:type="dxa" w:w="172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Robustez operativa.</w:t>
            </w:r>
          </w:p>
        </w:tc>
        <w:tc>
          <w:tcPr>
            <w:tcW w:type="dxa" w:w="1008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Situaciones especiales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P2-22</w:t>
            </w:r>
          </w:p>
        </w:tc>
        <w:tc>
          <w:tcPr>
            <w:tcW w:type="dxa" w:w="720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Menor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La matriz de brechas no prioriza ni asigna responsables o plazos.</w:t>
            </w:r>
          </w:p>
        </w:tc>
        <w:tc>
          <w:tcPr>
            <w:tcW w:type="dxa" w:w="2592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Se agregan prioridad, responsable sugerido y plazo.</w:t>
            </w:r>
          </w:p>
        </w:tc>
        <w:tc>
          <w:tcPr>
            <w:tcW w:type="dxa" w:w="172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Orientación a decisión.</w:t>
            </w:r>
          </w:p>
        </w:tc>
        <w:tc>
          <w:tcPr>
            <w:tcW w:type="dxa" w:w="1008"/>
            <w:shd w:val="clear" w:color="auto" w:fill="EEEEEE"/>
          </w:tcPr>
          <w:p>
            <w:pPr>
              <w:keepNext w:val="0"/>
              <w:spacing w:line="240" w:lineRule="auto" w:before="40" w:after="40"/>
              <w:jc w:val="left"/>
            </w:pPr>
            <w:r>
              <w:rPr>
                <w:rFonts w:ascii="Calibri" w:hAnsi="Calibri" w:eastAsia="Calibri"/>
                <w:sz w:val="16"/>
              </w:rPr>
              <w:t>P4</w:t>
            </w:r>
          </w:p>
        </w:tc>
      </w:tr>
    </w:tbl>
    <w:p>
      <w:pPr>
        <w:keepNext/>
        <w:spacing w:line="276" w:lineRule="auto" w:before="120" w:after="60"/>
        <w:jc w:val="left"/>
      </w:pPr>
      <w:r>
        <w:rPr>
          <w:rFonts w:ascii="Calibri" w:hAnsi="Calibri" w:eastAsia="Calibri"/>
          <w:b/>
          <w:color w:val="666666"/>
          <w:sz w:val="20"/>
        </w:rPr>
        <w:t>Fuente: elaboración propia.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4. Elementos conservados sin cambios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P1: rol acotado, fidelidad al adjunto, tres actos, cuatro desafíos, cajas de apoyo, rúbrica de cuatro niveles, cronograma docente.</w:t>
      </w:r>
    </w:p>
    <w:p>
      <w:pPr>
        <w:pStyle w:val="ListBullet"/>
        <w:keepNext w:val="0"/>
        <w:spacing w:line="360" w:lineRule="auto" w:before="0" w:after="40"/>
        <w:jc w:val="both"/>
      </w:pPr>
      <w:r>
        <w:rPr>
          <w:rFonts w:ascii="Calibri" w:hAnsi="Calibri" w:eastAsia="Calibri"/>
          <w:sz w:val="22"/>
        </w:rPr>
        <w:t>P2: principio de independencia, secuencia de fases, justificación obligatoria de clasificaciones, los seis productos ejecutivos.</w:t>
      </w:r>
    </w:p>
    <w:p>
      <w:pPr>
        <w:keepNext w:val="0"/>
        <w:spacing w:line="360" w:lineRule="auto" w:before="0" w:after="0"/>
        <w:jc w:val="both"/>
      </w:pP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Referencias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académicas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Anderson, L. W., y Krathwohl, D. R. (Eds.). (2001). </w:t>
      </w:r>
      <w:r>
        <w:rPr>
          <w:rFonts w:ascii="Calibri" w:hAnsi="Calibri" w:eastAsia="Calibri"/>
          <w:i/>
          <w:sz w:val="22"/>
        </w:rPr>
        <w:t>A taxonomy for learning, teaching, and assessing: A revision of Bloom's taxonomy of educational objectives</w:t>
      </w:r>
      <w:r>
        <w:rPr>
          <w:rFonts w:ascii="Calibri" w:hAnsi="Calibri" w:eastAsia="Calibri"/>
          <w:sz w:val="22"/>
        </w:rPr>
        <w:t>. Longman.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Biggs, J. (1996). Enhancing teaching through constructive alignment. </w:t>
      </w:r>
      <w:r>
        <w:rPr>
          <w:rFonts w:ascii="Calibri" w:hAnsi="Calibri" w:eastAsia="Calibri"/>
          <w:i/>
          <w:sz w:val="22"/>
        </w:rPr>
        <w:t>Higher Education, 32</w:t>
      </w:r>
      <w:r>
        <w:rPr>
          <w:rFonts w:ascii="Calibri" w:hAnsi="Calibri" w:eastAsia="Calibri"/>
          <w:sz w:val="22"/>
        </w:rPr>
        <w:t>(3), 347–364. https://doi.org/10.1007/BF00138871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Dhuliawala, S., Komeili, M., Xu, J., Raileanu, R., Li, X., Celikyilmaz, A., y Weston, J. (2023). </w:t>
      </w:r>
      <w:r>
        <w:rPr>
          <w:rFonts w:ascii="Calibri" w:hAnsi="Calibri" w:eastAsia="Calibri"/>
          <w:i/>
          <w:sz w:val="22"/>
        </w:rPr>
        <w:t>Chain-of-verification reduces hallucination in large language models</w:t>
      </w:r>
      <w:r>
        <w:rPr>
          <w:rFonts w:ascii="Calibri" w:hAnsi="Calibri" w:eastAsia="Calibri"/>
          <w:sz w:val="22"/>
        </w:rPr>
        <w:t>. arXiv. https://arxiv.org/abs/2309.11495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Ji, Z., Lee, N., Frieske, R., Yu, T., Su, D., Xu, Y., Ishii, E., Bang, Y. J., Madotto, A., y Fung, P. (2023). Survey of hallucination in natural language generation. </w:t>
      </w:r>
      <w:r>
        <w:rPr>
          <w:rFonts w:ascii="Calibri" w:hAnsi="Calibri" w:eastAsia="Calibri"/>
          <w:i/>
          <w:sz w:val="22"/>
        </w:rPr>
        <w:t>ACM Computing Surveys, 55</w:t>
      </w:r>
      <w:r>
        <w:rPr>
          <w:rFonts w:ascii="Calibri" w:hAnsi="Calibri" w:eastAsia="Calibri"/>
          <w:sz w:val="22"/>
        </w:rPr>
        <w:t>(12), Artículo 248. https://doi.org/10.1145/3571730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Kalyuga, S., Ayres, P., Chandler, P., y Sweller, J. (2003). The expertise reversal effect. </w:t>
      </w:r>
      <w:r>
        <w:rPr>
          <w:rFonts w:ascii="Calibri" w:hAnsi="Calibri" w:eastAsia="Calibri"/>
          <w:i/>
          <w:sz w:val="22"/>
        </w:rPr>
        <w:t>Educational Psychologist, 38</w:t>
      </w:r>
      <w:r>
        <w:rPr>
          <w:rFonts w:ascii="Calibri" w:hAnsi="Calibri" w:eastAsia="Calibri"/>
          <w:sz w:val="22"/>
        </w:rPr>
        <w:t>(1), 23–31. https://doi.org/10.1207/S15326985EP3801_4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Kane, M. T. (2013). Validating the interpretations and uses of test scores. </w:t>
      </w:r>
      <w:r>
        <w:rPr>
          <w:rFonts w:ascii="Calibri" w:hAnsi="Calibri" w:eastAsia="Calibri"/>
          <w:i/>
          <w:sz w:val="22"/>
        </w:rPr>
        <w:t>Journal of Educational Measurement, 50</w:t>
      </w:r>
      <w:r>
        <w:rPr>
          <w:rFonts w:ascii="Calibri" w:hAnsi="Calibri" w:eastAsia="Calibri"/>
          <w:sz w:val="22"/>
        </w:rPr>
        <w:t>(1), 1–73. https://doi.org/10.1111/jedm.12000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Knowles, M. S., Holton, E. F., III, y Swanson, R. A. (2015). </w:t>
      </w:r>
      <w:r>
        <w:rPr>
          <w:rFonts w:ascii="Calibri" w:hAnsi="Calibri" w:eastAsia="Calibri"/>
          <w:i/>
          <w:sz w:val="22"/>
        </w:rPr>
        <w:t>The adult learner: The definitive classic in adult education and human resource development</w:t>
      </w:r>
      <w:r>
        <w:rPr>
          <w:rFonts w:ascii="Calibri" w:hAnsi="Calibri" w:eastAsia="Calibri"/>
          <w:sz w:val="22"/>
        </w:rPr>
        <w:t xml:space="preserve"> (8.ª ed.). Routledge.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Landis, J. R., y Koch, G. G. (1977). The measurement of observer agreement for categorical data. </w:t>
      </w:r>
      <w:r>
        <w:rPr>
          <w:rFonts w:ascii="Calibri" w:hAnsi="Calibri" w:eastAsia="Calibri"/>
          <w:i/>
          <w:sz w:val="22"/>
        </w:rPr>
        <w:t>Biometrics, 33</w:t>
      </w:r>
      <w:r>
        <w:rPr>
          <w:rFonts w:ascii="Calibri" w:hAnsi="Calibri" w:eastAsia="Calibri"/>
          <w:sz w:val="22"/>
        </w:rPr>
        <w:t>(1), 159–174. https://doi.org/10.2307/2529310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Mayer, R. E. (2009). </w:t>
      </w:r>
      <w:r>
        <w:rPr>
          <w:rFonts w:ascii="Calibri" w:hAnsi="Calibri" w:eastAsia="Calibri"/>
          <w:i/>
          <w:sz w:val="22"/>
        </w:rPr>
        <w:t>Multimedia learning</w:t>
      </w:r>
      <w:r>
        <w:rPr>
          <w:rFonts w:ascii="Calibri" w:hAnsi="Calibri" w:eastAsia="Calibri"/>
          <w:sz w:val="22"/>
        </w:rPr>
        <w:t xml:space="preserve"> (2.ª ed.). Cambridge University Press. https://doi.org/10.1017/CBO9780511811678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Nickerson, R. S. (1998). Confirmation bias: A ubiquitous phenomenon in many guises. </w:t>
      </w:r>
      <w:r>
        <w:rPr>
          <w:rFonts w:ascii="Calibri" w:hAnsi="Calibri" w:eastAsia="Calibri"/>
          <w:i/>
          <w:sz w:val="22"/>
        </w:rPr>
        <w:t>Review of General Psychology, 2</w:t>
      </w:r>
      <w:r>
        <w:rPr>
          <w:rFonts w:ascii="Calibri" w:hAnsi="Calibri" w:eastAsia="Calibri"/>
          <w:sz w:val="22"/>
        </w:rPr>
        <w:t>(2), 175–220. https://doi.org/10.1037/1089-2680.2.2.175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Sharma, M., Tong, M., Korbak, T., Duvenaud, D., Askell, A., Bowman, S. R., et al. (2023). </w:t>
      </w:r>
      <w:r>
        <w:rPr>
          <w:rFonts w:ascii="Calibri" w:hAnsi="Calibri" w:eastAsia="Calibri"/>
          <w:i/>
          <w:sz w:val="22"/>
        </w:rPr>
        <w:t>Towards understanding sycophancy in language models</w:t>
      </w:r>
      <w:r>
        <w:rPr>
          <w:rFonts w:ascii="Calibri" w:hAnsi="Calibri" w:eastAsia="Calibri"/>
          <w:sz w:val="22"/>
        </w:rPr>
        <w:t>. arXiv. https://arxiv.org/abs/2310.13548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Sweller, J. (1988). Cognitive load during problem solving: Effects on learning. </w:t>
      </w:r>
      <w:r>
        <w:rPr>
          <w:rFonts w:ascii="Calibri" w:hAnsi="Calibri" w:eastAsia="Calibri"/>
          <w:i/>
          <w:sz w:val="22"/>
        </w:rPr>
        <w:t>Cognitive Science, 12</w:t>
      </w:r>
      <w:r>
        <w:rPr>
          <w:rFonts w:ascii="Calibri" w:hAnsi="Calibri" w:eastAsia="Calibri"/>
          <w:sz w:val="22"/>
        </w:rPr>
        <w:t>(2), 257–285. https://doi.org/10.1207/s15516709cog1202_4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Tversky, A., y Kahneman, D. (1974). Judgment under uncertainty: Heuristics and biases. </w:t>
      </w:r>
      <w:r>
        <w:rPr>
          <w:rFonts w:ascii="Calibri" w:hAnsi="Calibri" w:eastAsia="Calibri"/>
          <w:i/>
          <w:sz w:val="22"/>
        </w:rPr>
        <w:t>Science, 185</w:t>
      </w:r>
      <w:r>
        <w:rPr>
          <w:rFonts w:ascii="Calibri" w:hAnsi="Calibri" w:eastAsia="Calibri"/>
          <w:sz w:val="22"/>
        </w:rPr>
        <w:t>(4157), 1124–1131. https://doi.org/10.1126/science.185.4157.1124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Wood, D., Bruner, J. S., y Ross, G. (1976). The role of tutoring in problem solving. </w:t>
      </w:r>
      <w:r>
        <w:rPr>
          <w:rFonts w:ascii="Calibri" w:hAnsi="Calibri" w:eastAsia="Calibri"/>
          <w:i/>
          <w:sz w:val="22"/>
        </w:rPr>
        <w:t>Journal of Child Psychology and Psychiatry, 17</w:t>
      </w:r>
      <w:r>
        <w:rPr>
          <w:rFonts w:ascii="Calibri" w:hAnsi="Calibri" w:eastAsia="Calibri"/>
          <w:sz w:val="22"/>
        </w:rPr>
        <w:t>(2), 89–100. https://doi.org/10.1111/j.1469-7610.1976.tb00381.x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Zheng, L., Chiang, W.-L., Sheng, Y., Zhuang, S., Wu, Z., Zhuang, Y., et al. (2023). </w:t>
      </w:r>
      <w:r>
        <w:rPr>
          <w:rFonts w:ascii="Calibri" w:hAnsi="Calibri" w:eastAsia="Calibri"/>
          <w:i/>
          <w:sz w:val="22"/>
        </w:rPr>
        <w:t>Judging LLM-as-a-judge with MT-Bench and Chatbot Arena</w:t>
      </w:r>
      <w:r>
        <w:rPr>
          <w:rFonts w:ascii="Calibri" w:hAnsi="Calibri" w:eastAsia="Calibri"/>
          <w:sz w:val="22"/>
        </w:rPr>
        <w:t>. arXiv. https://arxiv.org/abs/2306.05685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Zheng, M., Pei, J., Logeswaran, L., Lee, M., y Jurgens, D. (2024). </w:t>
      </w:r>
      <w:r>
        <w:rPr>
          <w:rFonts w:ascii="Calibri" w:hAnsi="Calibri" w:eastAsia="Calibri"/>
          <w:i/>
          <w:sz w:val="22"/>
        </w:rPr>
        <w:t>When “a helpful assistant” is not really helpful: Personas in system prompts do not improve performances of large language models</w:t>
      </w:r>
      <w:r>
        <w:rPr>
          <w:rFonts w:ascii="Calibri" w:hAnsi="Calibri" w:eastAsia="Calibri"/>
          <w:sz w:val="22"/>
        </w:rPr>
        <w:t>. arXiv. https://arxiv.org/abs/2311.10054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Norma de citación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American Psychological Association. (2020). </w:t>
      </w:r>
      <w:r>
        <w:rPr>
          <w:rFonts w:ascii="Calibri" w:hAnsi="Calibri" w:eastAsia="Calibri"/>
          <w:i/>
          <w:sz w:val="22"/>
        </w:rPr>
        <w:t>Publication manual of the American Psychological Association</w:t>
      </w:r>
      <w:r>
        <w:rPr>
          <w:rFonts w:ascii="Calibri" w:hAnsi="Calibri" w:eastAsia="Calibri"/>
          <w:sz w:val="22"/>
        </w:rPr>
        <w:t xml:space="preserve"> (7.ª ed.). https://doi.org/10.1037/0000165-000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normativas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>Ley 19.628 de 1999. Sobre protección de la vida privada. Diario Oficial de la República de Chile.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>Ley 21.719 de 2024. Regula la protección y el tratamiento de los datos personales y crea la Agencia de Protección de Datos Personales. Diario Oficial de la República de Chile.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institucionales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Duoc UC. (s. f.). </w:t>
      </w:r>
      <w:r>
        <w:rPr>
          <w:rFonts w:ascii="Calibri" w:hAnsi="Calibri" w:eastAsia="Calibri"/>
          <w:i/>
          <w:sz w:val="22"/>
        </w:rPr>
        <w:t>Normas de presentación de trabajos escritos</w:t>
      </w:r>
      <w:r>
        <w:rPr>
          <w:rFonts w:ascii="Calibri" w:hAnsi="Calibri" w:eastAsia="Calibri"/>
          <w:sz w:val="22"/>
        </w:rPr>
        <w:t xml:space="preserve"> [Documento institucional de Bibliotecas Duoc UC].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Material analizado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Carrasco Navarrete, J. A. (s. f.-a). </w:t>
      </w:r>
      <w:r>
        <w:rPr>
          <w:rFonts w:ascii="Calibri" w:hAnsi="Calibri" w:eastAsia="Calibri"/>
          <w:i/>
          <w:sz w:val="22"/>
        </w:rPr>
        <w:t>Instrucción de sistema: GEM — Arquitecto Pedagógico de Casos Situados, v2.0</w:t>
      </w:r>
      <w:r>
        <w:rPr>
          <w:rFonts w:ascii="Calibri" w:hAnsi="Calibri" w:eastAsia="Calibri"/>
          <w:sz w:val="22"/>
        </w:rPr>
        <w:t xml:space="preserve"> [Documento inédito].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Carrasco Navarrete, J. A. (s. f.-b). </w:t>
      </w:r>
      <w:r>
        <w:rPr>
          <w:rFonts w:ascii="Calibri" w:hAnsi="Calibri" w:eastAsia="Calibri"/>
          <w:i/>
          <w:sz w:val="22"/>
        </w:rPr>
        <w:t>Prompt maestro nivel dirección ejecutiva y auditoría científica de resultados de IA</w:t>
      </w:r>
      <w:r>
        <w:rPr>
          <w:rFonts w:ascii="Calibri" w:hAnsi="Calibri" w:eastAsia="Calibri"/>
          <w:sz w:val="22"/>
        </w:rPr>
        <w:t xml:space="preserve"> [Documento inédito].</w:t>
      </w:r>
    </w:p>
    <w:p>
      <w:pPr>
        <w:keepNext/>
        <w:spacing w:line="276" w:lineRule="auto" w:before="200" w:after="120"/>
        <w:jc w:val="left"/>
      </w:pPr>
      <w:r>
        <w:rPr>
          <w:rFonts w:ascii="Calibri" w:hAnsi="Calibri"/>
          <w:b/>
          <w:color w:val="666666"/>
          <w:sz w:val="25"/>
        </w:rPr>
        <w:t>Fuentes técnicas y herramientas de IA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Anthropic. (2026). </w:t>
      </w:r>
      <w:r>
        <w:rPr>
          <w:rFonts w:ascii="Calibri" w:hAnsi="Calibri" w:eastAsia="Calibri"/>
          <w:i/>
          <w:sz w:val="22"/>
        </w:rPr>
        <w:t>Claude Sonnet 5.5</w:t>
      </w:r>
      <w:r>
        <w:rPr>
          <w:rFonts w:ascii="Calibri" w:hAnsi="Calibri" w:eastAsia="Calibri"/>
          <w:sz w:val="22"/>
        </w:rPr>
        <w:t xml:space="preserve"> (versión de octubre) [Modelo de lenguaje de gran tamaño]. https://claude.ai</w:t>
      </w:r>
    </w:p>
    <w:p>
      <w:pPr>
        <w:spacing w:line="360" w:lineRule="auto" w:after="120"/>
        <w:ind w:left="720" w:hanging="720"/>
      </w:pPr>
      <w:r>
        <w:rPr>
          <w:rFonts w:ascii="Calibri" w:hAnsi="Calibri" w:eastAsia="Calibri"/>
          <w:sz w:val="22"/>
        </w:rPr>
        <w:t xml:space="preserve">McAdoo, T. (2023, 7 de abril). </w:t>
      </w:r>
      <w:r>
        <w:rPr>
          <w:rFonts w:ascii="Calibri" w:hAnsi="Calibri" w:eastAsia="Calibri"/>
          <w:i/>
          <w:sz w:val="22"/>
        </w:rPr>
        <w:t>How to cite ChatGPT</w:t>
      </w:r>
      <w:r>
        <w:rPr>
          <w:rFonts w:ascii="Calibri" w:hAnsi="Calibri" w:eastAsia="Calibri"/>
          <w:sz w:val="22"/>
        </w:rPr>
        <w:t>. APA Style. https://apastyle.apa.org/blog/how-to-cite-chatgpt</w:t>
      </w:r>
    </w:p>
    <w:p>
      <w:pPr>
        <w:keepNext/>
        <w:spacing w:line="276" w:lineRule="auto" w:before="280" w:after="160"/>
        <w:ind w:left="173"/>
        <w:jc w:val="left"/>
        <w:pBdr>
          <w:left w:val="single" w:sz="36" w:space="8" w:color="FFB800"/>
        </w:pBdr>
      </w:pPr>
      <w:r>
        <w:rPr>
          <w:rFonts w:ascii="Calibri" w:hAnsi="Calibri"/>
          <w:b/>
          <w:color w:val="1A1A1A"/>
          <w:sz w:val="30"/>
        </w:rPr>
        <w:t>Anexo A. Declaración de uso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EEE"/>
            <w:tcBorders>
              <w:top w:val="nil"/>
              <w:left w:val="single" w:sz="32" w:color="FFB800"/>
              <w:bottom w:val="nil"/>
              <w:right w:val="nil"/>
            </w:tcBorders>
          </w:tcPr>
          <w:p>
            <w:pPr>
              <w:keepNext w:val="0"/>
              <w:spacing w:line="276" w:lineRule="auto" w:before="60" w:after="60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Declaración de uso de IA. </w:t>
            </w:r>
            <w:r>
              <w:rPr>
                <w:rFonts w:ascii="Calibri" w:hAnsi="Calibri" w:eastAsia="Calibri"/>
                <w:sz w:val="21"/>
              </w:rPr>
              <w:t>Este documento se elaboró con asistencia de Claude Sonnet 5.5 (Anthropic), mediante Claude Code, el 19 de octubre de 2026, para analizar, redactar y sistematizar. La verificación humana de contenido y fuentes está pendiente de realización por el autor, quien asume la responsabilidad final. Detalle completo en el archivo 05_Declaracion_Uso_IA.</w:t>
            </w:r>
          </w:p>
        </w:tc>
      </w:tr>
    </w:tbl>
    <w:p>
      <w:pPr>
        <w:keepNext w:val="0"/>
        <w:spacing w:line="360" w:lineRule="auto" w:before="0" w:after="0"/>
        <w:jc w:val="both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Matriz de trazabilidad de cambios  |  </w:t>
    </w:r>
    <w:r>
      <w:rPr>
        <w:rFonts w:ascii="Calibri" w:hAnsi="Calibri"/>
        <w:color w:val="666666"/>
        <w:sz w:val="20"/>
      </w:rPr>
      <w:fldChar w:fldCharType="begin"/>
    </w:r>
    <w:r>
      <w:rPr>
        <w:rFonts w:ascii="Calibri" w:hAnsi="Calibri"/>
        <w:color w:val="666666"/>
        <w:sz w:val="20"/>
      </w:rPr>
      <w:instrText xml:space="preserve">PAGE</w:instrText>
    </w:r>
    <w:r>
      <w:rPr>
        <w:rFonts w:ascii="Calibri" w:hAnsi="Calibri"/>
        <w:color w:val="666666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Cambios</dc:title>
  <dc:subject/>
  <dc:creator>Juan Antonio Carrasco Navarrete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