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before="0" w:after="0"/>
        <w:jc w:val="left"/>
      </w:pPr>
      <w:r>
        <w:rPr>
          <w:rFonts w:ascii="Calibri" w:hAnsi="Calibri" w:eastAsia="Calibri"/>
          <w:color w:val="666666"/>
          <w:sz w:val="18"/>
        </w:rPr>
        <w:t>[Insertar logotipo oficial Duoc UC en esta esquina]</w:t>
      </w:r>
    </w:p>
    <w:p/>
    <w:p/>
    <w:p/>
    <w:p/>
    <w:p/>
    <w:p>
      <w:pPr>
        <w:keepNext w:val="0"/>
        <w:spacing w:line="276" w:lineRule="auto" w:before="0" w:after="200"/>
        <w:jc w:val="center"/>
        <w:pBdr>
          <w:bottom w:val="single" w:sz="18" w:space="8" w:color="FFB800"/>
        </w:pBdr>
      </w:pPr>
      <w:r>
        <w:rPr>
          <w:rFonts w:ascii="Calibri" w:hAnsi="Calibri"/>
          <w:b/>
          <w:color w:val="1A1A1A"/>
          <w:sz w:val="28"/>
        </w:rPr>
        <w:t>BIBLIOGRAFÍA NORMALIZADA Y DOCUMENTADA</w:t>
      </w:r>
    </w:p>
    <w:p/>
    <w:p/>
    <w:p/>
    <w:p/>
    <w:p/>
    <w:p/>
    <w:p/>
    <w:p>
      <w:pPr>
        <w:keepNext w:val="0"/>
        <w:spacing w:line="276" w:lineRule="auto" w:before="0" w:after="80"/>
        <w:jc w:val="center"/>
      </w:pPr>
      <w:r>
        <w:rPr>
          <w:rFonts w:ascii="Calibri" w:hAnsi="Calibri"/>
          <w:b/>
          <w:sz w:val="28"/>
        </w:rPr>
        <w:t xml:space="preserve">Autor: </w:t>
      </w:r>
      <w:r>
        <w:rPr>
          <w:rFonts w:ascii="Calibri" w:hAnsi="Calibri"/>
          <w:sz w:val="28"/>
        </w:rPr>
        <w:t>Juan Antonio Carrasco Navarrete</w:t>
      </w:r>
    </w:p>
    <w:p>
      <w:pPr>
        <w:keepNext w:val="0"/>
        <w:spacing w:line="276" w:lineRule="auto" w:before="0" w:after="80"/>
        <w:jc w:val="center"/>
      </w:pPr>
      <w:r>
        <w:rPr>
          <w:rFonts w:ascii="Calibri" w:hAnsi="Calibri"/>
          <w:b/>
          <w:sz w:val="28"/>
        </w:rPr>
        <w:t xml:space="preserve">Unidad: </w:t>
      </w:r>
      <w:r>
        <w:rPr>
          <w:rFonts w:ascii="Calibri" w:hAnsi="Calibri"/>
          <w:sz w:val="28"/>
        </w:rPr>
        <w:t>Escuela de Administración y Negocios, Sede San Bernardo</w:t>
      </w:r>
    </w:p>
    <w:p>
      <w:pPr>
        <w:keepNext w:val="0"/>
        <w:spacing w:line="276" w:lineRule="auto" w:before="0" w:after="80"/>
        <w:jc w:val="center"/>
      </w:pPr>
      <w:r>
        <w:rPr>
          <w:rFonts w:ascii="Calibri" w:hAnsi="Calibri"/>
          <w:b/>
          <w:sz w:val="28"/>
        </w:rPr>
        <w:t xml:space="preserve">Proyecto: </w:t>
      </w:r>
      <w:r>
        <w:rPr>
          <w:rFonts w:ascii="Calibri" w:hAnsi="Calibri"/>
          <w:sz w:val="28"/>
        </w:rPr>
        <w:t>Ingeniería de prompts para diseño instruccional y auditoría de IA</w:t>
      </w:r>
    </w:p>
    <w:p>
      <w:pPr>
        <w:keepNext w:val="0"/>
        <w:spacing w:line="276" w:lineRule="auto" w:before="0" w:after="80"/>
        <w:jc w:val="center"/>
      </w:pPr>
      <w:r>
        <w:rPr>
          <w:rFonts w:ascii="Calibri" w:hAnsi="Calibri"/>
          <w:b/>
          <w:sz w:val="28"/>
        </w:rPr>
        <w:t xml:space="preserve">Fecha: </w:t>
      </w:r>
      <w:r>
        <w:rPr>
          <w:rFonts w:ascii="Calibri" w:hAnsi="Calibri"/>
          <w:sz w:val="28"/>
        </w:rPr>
        <w:t>19 de octubre de 2026</w:t>
      </w:r>
    </w:p>
    <w:p>
      <w:pPr>
        <w:keepNext w:val="0"/>
        <w:spacing w:line="276" w:lineRule="auto" w:before="0" w:after="80"/>
        <w:jc w:val="center"/>
      </w:pPr>
      <w:r>
        <w:rPr>
          <w:rFonts w:ascii="Calibri" w:hAnsi="Calibri"/>
          <w:b/>
          <w:sz w:val="28"/>
        </w:rPr>
        <w:t xml:space="preserve">Producto: </w:t>
      </w:r>
      <w:r>
        <w:rPr>
          <w:rFonts w:ascii="Calibri" w:hAnsi="Calibri"/>
          <w:sz w:val="28"/>
        </w:rPr>
        <w:t>04 · Bibliografía APA 7.ª edición</w:t>
      </w:r>
    </w:p>
    <w:p>
      <w:r>
        <w:br w:type="page"/>
      </w:r>
    </w:p>
    <w:p>
      <w:pPr>
        <w:keepNext w:val="0"/>
        <w:spacing w:line="276" w:lineRule="auto" w:before="0" w:after="240"/>
        <w:ind w:left="173"/>
        <w:jc w:val="left"/>
        <w:pBdr>
          <w:left w:val="single" w:sz="36" w:space="8" w:color="FFB800"/>
        </w:pBdr>
      </w:pPr>
      <w:r>
        <w:rPr>
          <w:rFonts w:ascii="Calibri" w:hAnsi="Calibri"/>
          <w:b/>
          <w:sz w:val="30"/>
        </w:rPr>
        <w:t>Índice</w:t>
      </w:r>
    </w:p>
    <w:p>
      <w:pPr>
        <w:keepNext w:val="0"/>
        <w:tabs>
          <w:tab w:pos="9360" w:val="right" w:leader="dot"/>
        </w:tabs>
        <w:spacing w:line="312" w:lineRule="auto" w:before="0" w:after="40"/>
        <w:ind w:left="0"/>
        <w:jc w:val="left"/>
      </w:pPr>
      <w:r>
        <w:rPr>
          <w:rFonts w:ascii="Calibri" w:hAnsi="Calibri"/>
          <w:b/>
          <w:sz w:val="22"/>
        </w:rPr>
        <w:t>1. Introducción</w:t>
        <w:tab/>
        <w:t>3</w:t>
      </w:r>
    </w:p>
    <w:p>
      <w:pPr>
        <w:keepNext w:val="0"/>
        <w:tabs>
          <w:tab w:pos="9360" w:val="right" w:leader="dot"/>
        </w:tabs>
        <w:spacing w:line="312" w:lineRule="auto" w:before="0" w:after="40"/>
        <w:ind w:left="0"/>
        <w:jc w:val="left"/>
      </w:pPr>
      <w:r>
        <w:rPr>
          <w:rFonts w:ascii="Calibri" w:hAnsi="Calibri"/>
          <w:b/>
          <w:sz w:val="22"/>
        </w:rPr>
        <w:t>2. Referencias</w:t>
        <w:tab/>
        <w:t>3</w:t>
      </w:r>
    </w:p>
    <w:p>
      <w:pPr>
        <w:keepNext w:val="0"/>
        <w:tabs>
          <w:tab w:pos="9360" w:val="right" w:leader="dot"/>
        </w:tabs>
        <w:spacing w:line="312" w:lineRule="auto" w:before="0" w:after="40"/>
        <w:ind w:left="432"/>
        <w:jc w:val="left"/>
      </w:pPr>
      <w:r>
        <w:rPr>
          <w:rFonts w:ascii="Calibri" w:hAnsi="Calibri"/>
          <w:b w:val="0"/>
          <w:sz w:val="22"/>
        </w:rPr>
        <w:t>Fuentes académicas</w:t>
        <w:tab/>
        <w:t>3</w:t>
      </w:r>
    </w:p>
    <w:p>
      <w:pPr>
        <w:keepNext w:val="0"/>
        <w:tabs>
          <w:tab w:pos="9360" w:val="right" w:leader="dot"/>
        </w:tabs>
        <w:spacing w:line="312" w:lineRule="auto" w:before="0" w:after="40"/>
        <w:ind w:left="432"/>
        <w:jc w:val="left"/>
      </w:pPr>
      <w:r>
        <w:rPr>
          <w:rFonts w:ascii="Calibri" w:hAnsi="Calibri"/>
          <w:b w:val="0"/>
          <w:sz w:val="22"/>
        </w:rPr>
        <w:t>Norma de citación</w:t>
        <w:tab/>
        <w:t>4</w:t>
      </w:r>
    </w:p>
    <w:p>
      <w:pPr>
        <w:keepNext w:val="0"/>
        <w:tabs>
          <w:tab w:pos="9360" w:val="right" w:leader="dot"/>
        </w:tabs>
        <w:spacing w:line="312" w:lineRule="auto" w:before="0" w:after="40"/>
        <w:ind w:left="432"/>
        <w:jc w:val="left"/>
      </w:pPr>
      <w:r>
        <w:rPr>
          <w:rFonts w:ascii="Calibri" w:hAnsi="Calibri"/>
          <w:b w:val="0"/>
          <w:sz w:val="22"/>
        </w:rPr>
        <w:t>Fuentes normativas</w:t>
        <w:tab/>
        <w:t>4</w:t>
      </w:r>
    </w:p>
    <w:p>
      <w:pPr>
        <w:keepNext w:val="0"/>
        <w:tabs>
          <w:tab w:pos="9360" w:val="right" w:leader="dot"/>
        </w:tabs>
        <w:spacing w:line="312" w:lineRule="auto" w:before="0" w:after="40"/>
        <w:ind w:left="432"/>
        <w:jc w:val="left"/>
      </w:pPr>
      <w:r>
        <w:rPr>
          <w:rFonts w:ascii="Calibri" w:hAnsi="Calibri"/>
          <w:b w:val="0"/>
          <w:sz w:val="22"/>
        </w:rPr>
        <w:t>Fuentes institucionales</w:t>
        <w:tab/>
        <w:t>5</w:t>
      </w:r>
    </w:p>
    <w:p>
      <w:pPr>
        <w:keepNext w:val="0"/>
        <w:tabs>
          <w:tab w:pos="9360" w:val="right" w:leader="dot"/>
        </w:tabs>
        <w:spacing w:line="312" w:lineRule="auto" w:before="0" w:after="40"/>
        <w:ind w:left="432"/>
        <w:jc w:val="left"/>
      </w:pPr>
      <w:r>
        <w:rPr>
          <w:rFonts w:ascii="Calibri" w:hAnsi="Calibri"/>
          <w:b w:val="0"/>
          <w:sz w:val="22"/>
        </w:rPr>
        <w:t>Material analizado</w:t>
        <w:tab/>
        <w:t>5</w:t>
      </w:r>
    </w:p>
    <w:p>
      <w:pPr>
        <w:keepNext w:val="0"/>
        <w:tabs>
          <w:tab w:pos="9360" w:val="right" w:leader="dot"/>
        </w:tabs>
        <w:spacing w:line="312" w:lineRule="auto" w:before="0" w:after="40"/>
        <w:ind w:left="432"/>
        <w:jc w:val="left"/>
      </w:pPr>
      <w:r>
        <w:rPr>
          <w:rFonts w:ascii="Calibri" w:hAnsi="Calibri"/>
          <w:b w:val="0"/>
          <w:sz w:val="22"/>
        </w:rPr>
        <w:t>Fuentes técnicas y herramientas de IA</w:t>
        <w:tab/>
        <w:t>5</w:t>
      </w:r>
    </w:p>
    <w:p>
      <w:pPr>
        <w:keepNext w:val="0"/>
        <w:tabs>
          <w:tab w:pos="9360" w:val="right" w:leader="dot"/>
        </w:tabs>
        <w:spacing w:line="312" w:lineRule="auto" w:before="0" w:after="40"/>
        <w:ind w:left="0"/>
        <w:jc w:val="left"/>
      </w:pPr>
      <w:r>
        <w:rPr>
          <w:rFonts w:ascii="Calibri" w:hAnsi="Calibri"/>
          <w:b/>
          <w:sz w:val="22"/>
        </w:rPr>
        <w:t>3. Cuadro de uso y verificación</w:t>
        <w:tab/>
        <w:t>5</w:t>
      </w:r>
    </w:p>
    <w:p>
      <w:pPr>
        <w:keepNext w:val="0"/>
        <w:tabs>
          <w:tab w:pos="9360" w:val="right" w:leader="dot"/>
        </w:tabs>
        <w:spacing w:line="312" w:lineRule="auto" w:before="0" w:after="40"/>
        <w:ind w:left="0"/>
        <w:jc w:val="left"/>
      </w:pPr>
      <w:r>
        <w:rPr>
          <w:rFonts w:ascii="Calibri" w:hAnsi="Calibri"/>
          <w:b/>
          <w:sz w:val="22"/>
        </w:rPr>
        <w:t>4. Criterios de citación de IA aplicados</w:t>
        <w:tab/>
        <w:t>6</w:t>
      </w:r>
    </w:p>
    <w:p>
      <w:pPr>
        <w:keepNext w:val="0"/>
        <w:tabs>
          <w:tab w:pos="9360" w:val="right" w:leader="dot"/>
        </w:tabs>
        <w:spacing w:line="312" w:lineRule="auto" w:before="0" w:after="40"/>
        <w:ind w:left="0"/>
        <w:jc w:val="left"/>
      </w:pPr>
      <w:r>
        <w:rPr>
          <w:rFonts w:ascii="Calibri" w:hAnsi="Calibri"/>
          <w:b/>
          <w:sz w:val="22"/>
        </w:rPr>
        <w:t>Anexo A. Declaración de uso de IA</w:t>
        <w:tab/>
        <w:t>6</w:t>
      </w:r>
    </w:p>
    <w:p>
      <w:r>
        <w:br w:type="page"/>
      </w:r>
    </w:p>
    <w:p/>
    <w:p>
      <w:pPr>
        <w:keepNext/>
        <w:spacing w:line="276" w:lineRule="auto" w:before="280" w:after="160"/>
        <w:ind w:left="173"/>
        <w:jc w:val="left"/>
        <w:pBdr>
          <w:left w:val="single" w:sz="36" w:space="8" w:color="FFB800"/>
        </w:pBdr>
      </w:pPr>
      <w:r>
        <w:rPr>
          <w:rFonts w:ascii="Calibri" w:hAnsi="Calibri"/>
          <w:b/>
          <w:color w:val="1A1A1A"/>
          <w:sz w:val="30"/>
        </w:rPr>
        <w:t>1. Introducción</w:t>
      </w:r>
    </w:p>
    <w:p>
      <w:pPr>
        <w:keepNext w:val="0"/>
        <w:spacing w:line="360" w:lineRule="auto" w:before="0" w:after="120"/>
        <w:jc w:val="both"/>
      </w:pPr>
      <w:r>
        <w:rPr>
          <w:rFonts w:ascii="Calibri" w:hAnsi="Calibri" w:eastAsia="Calibri"/>
          <w:sz w:val="22"/>
        </w:rPr>
        <w:t>Este documento reúne las fuentes que sustentan el análisis y los prompts v3.0, normalizadas en APA 7.ª edición y diferenciadas en académicas, normativas, institucionales, material analizado y técnicas o de IA. Se indica además el uso de cada fuente y su estado de verificación.</w:t>
      </w:r>
    </w:p>
    <w:tbl>
      <w:tblPr>
        <w:tblW w:type="auto" w:w="0"/>
        <w:jc w:val="center"/>
        <w:tblLook w:firstColumn="1" w:firstRow="1" w:lastColumn="0" w:lastRow="0" w:noHBand="0" w:noVBand="1" w:val="04A0"/>
      </w:tblPr>
      <w:tblGrid>
        <w:gridCol w:w="9360"/>
      </w:tblGrid>
      <w:tr>
        <w:tc>
          <w:tcPr>
            <w:tcW w:type="dxa" w:w="9360"/>
            <w:shd w:val="clear" w:color="auto" w:fill="EEEEEE"/>
            <w:tcBorders>
              <w:top w:val="nil"/>
              <w:left w:val="single" w:sz="32" w:color="FFB800"/>
              <w:bottom w:val="nil"/>
              <w:right w:val="nil"/>
            </w:tcBorders>
          </w:tcPr>
          <w:p>
            <w:pPr>
              <w:keepNext w:val="0"/>
              <w:spacing w:line="276" w:lineRule="auto" w:before="60" w:after="60"/>
              <w:jc w:val="left"/>
            </w:pPr>
            <w:r>
              <w:rPr>
                <w:rFonts w:ascii="Calibri" w:hAnsi="Calibri"/>
                <w:b/>
                <w:sz w:val="21"/>
              </w:rPr>
              <w:t xml:space="preserve">Advertencia de verificación. </w:t>
            </w:r>
            <w:r>
              <w:rPr>
                <w:rFonts w:ascii="Calibri" w:hAnsi="Calibri" w:eastAsia="Calibri"/>
                <w:sz w:val="21"/>
              </w:rPr>
              <w:t>Durante la elaboración no hubo acceso a servicios de verificación de DOI ni de arXiv. Todas las referencias deben comprobarse antes de su uso formal. Las que lo requieren están señaladas en el cuadro de verificación (capítulo 3). No se incorporaron fuentes cuya autoría o año no pudieran atribuirse con razonable certeza.</w:t>
            </w:r>
          </w:p>
        </w:tc>
      </w:tr>
    </w:tbl>
    <w:p>
      <w:pPr>
        <w:keepNext w:val="0"/>
        <w:spacing w:line="360" w:lineRule="auto" w:before="0" w:after="0"/>
        <w:jc w:val="both"/>
      </w:pPr>
    </w:p>
    <w:p>
      <w:pPr>
        <w:keepNext/>
        <w:spacing w:line="276" w:lineRule="auto" w:before="280" w:after="160"/>
        <w:ind w:left="173"/>
        <w:jc w:val="left"/>
        <w:pBdr>
          <w:left w:val="single" w:sz="36" w:space="8" w:color="FFB800"/>
        </w:pBdr>
      </w:pPr>
      <w:r>
        <w:rPr>
          <w:rFonts w:ascii="Calibri" w:hAnsi="Calibri"/>
          <w:b/>
          <w:color w:val="1A1A1A"/>
          <w:sz w:val="30"/>
        </w:rPr>
        <w:t>2. Referencias</w:t>
      </w:r>
    </w:p>
    <w:p>
      <w:pPr>
        <w:keepNext/>
        <w:spacing w:line="276" w:lineRule="auto" w:before="200" w:after="120"/>
        <w:jc w:val="left"/>
      </w:pPr>
      <w:r>
        <w:rPr>
          <w:rFonts w:ascii="Calibri" w:hAnsi="Calibri"/>
          <w:b/>
          <w:color w:val="666666"/>
          <w:sz w:val="25"/>
        </w:rPr>
        <w:t>Fuentes académicas</w:t>
      </w:r>
    </w:p>
    <w:p>
      <w:pPr>
        <w:spacing w:line="360" w:lineRule="auto" w:after="120"/>
        <w:ind w:left="720" w:hanging="720"/>
      </w:pPr>
      <w:r>
        <w:rPr>
          <w:rFonts w:ascii="Calibri" w:hAnsi="Calibri" w:eastAsia="Calibri"/>
          <w:sz w:val="22"/>
        </w:rPr>
        <w:t xml:space="preserve">Anderson, L. W., y Krathwohl, D. R. (Eds.). (2001). </w:t>
      </w:r>
      <w:r>
        <w:rPr>
          <w:rFonts w:ascii="Calibri" w:hAnsi="Calibri" w:eastAsia="Calibri"/>
          <w:i/>
          <w:sz w:val="22"/>
        </w:rPr>
        <w:t>A taxonomy for learning, teaching, and assessing: A revision of Bloom's taxonomy of educational objectives</w:t>
      </w:r>
      <w:r>
        <w:rPr>
          <w:rFonts w:ascii="Calibri" w:hAnsi="Calibri" w:eastAsia="Calibri"/>
          <w:sz w:val="22"/>
        </w:rPr>
        <w:t>. Longman.</w:t>
      </w:r>
    </w:p>
    <w:p>
      <w:pPr>
        <w:spacing w:line="360" w:lineRule="auto" w:after="120"/>
        <w:ind w:left="720" w:hanging="720"/>
      </w:pPr>
      <w:r>
        <w:rPr>
          <w:rFonts w:ascii="Calibri" w:hAnsi="Calibri" w:eastAsia="Calibri"/>
          <w:sz w:val="22"/>
        </w:rPr>
        <w:t xml:space="preserve">Biggs, J. (1996). Enhancing teaching through constructive alignment. </w:t>
      </w:r>
      <w:r>
        <w:rPr>
          <w:rFonts w:ascii="Calibri" w:hAnsi="Calibri" w:eastAsia="Calibri"/>
          <w:i/>
          <w:sz w:val="22"/>
        </w:rPr>
        <w:t>Higher Education, 32</w:t>
      </w:r>
      <w:r>
        <w:rPr>
          <w:rFonts w:ascii="Calibri" w:hAnsi="Calibri" w:eastAsia="Calibri"/>
          <w:sz w:val="22"/>
        </w:rPr>
        <w:t>(3), 347–364. https://doi.org/10.1007/BF00138871</w:t>
      </w:r>
    </w:p>
    <w:p>
      <w:pPr>
        <w:spacing w:line="360" w:lineRule="auto" w:after="120"/>
        <w:ind w:left="720" w:hanging="720"/>
      </w:pPr>
      <w:r>
        <w:rPr>
          <w:rFonts w:ascii="Calibri" w:hAnsi="Calibri" w:eastAsia="Calibri"/>
          <w:sz w:val="22"/>
        </w:rPr>
        <w:t xml:space="preserve">Dhuliawala, S., Komeili, M., Xu, J., Raileanu, R., Li, X., Celikyilmaz, A., y Weston, J. (2023). </w:t>
      </w:r>
      <w:r>
        <w:rPr>
          <w:rFonts w:ascii="Calibri" w:hAnsi="Calibri" w:eastAsia="Calibri"/>
          <w:i/>
          <w:sz w:val="22"/>
        </w:rPr>
        <w:t>Chain-of-verification reduces hallucination in large language models</w:t>
      </w:r>
      <w:r>
        <w:rPr>
          <w:rFonts w:ascii="Calibri" w:hAnsi="Calibri" w:eastAsia="Calibri"/>
          <w:sz w:val="22"/>
        </w:rPr>
        <w:t>. arXiv. https://arxiv.org/abs/2309.11495</w:t>
      </w:r>
    </w:p>
    <w:p>
      <w:pPr>
        <w:spacing w:line="360" w:lineRule="auto" w:after="120"/>
        <w:ind w:left="720" w:hanging="720"/>
      </w:pPr>
      <w:r>
        <w:rPr>
          <w:rFonts w:ascii="Calibri" w:hAnsi="Calibri" w:eastAsia="Calibri"/>
          <w:sz w:val="22"/>
        </w:rPr>
        <w:t xml:space="preserve">Ji, Z., Lee, N., Frieske, R., Yu, T., Su, D., Xu, Y., Ishii, E., Bang, Y. J., Madotto, A., y Fung, P. (2023). Survey of hallucination in natural language generation. </w:t>
      </w:r>
      <w:r>
        <w:rPr>
          <w:rFonts w:ascii="Calibri" w:hAnsi="Calibri" w:eastAsia="Calibri"/>
          <w:i/>
          <w:sz w:val="22"/>
        </w:rPr>
        <w:t>ACM Computing Surveys, 55</w:t>
      </w:r>
      <w:r>
        <w:rPr>
          <w:rFonts w:ascii="Calibri" w:hAnsi="Calibri" w:eastAsia="Calibri"/>
          <w:sz w:val="22"/>
        </w:rPr>
        <w:t>(12), Artículo 248. https://doi.org/10.1145/3571730</w:t>
      </w:r>
    </w:p>
    <w:p>
      <w:pPr>
        <w:spacing w:line="360" w:lineRule="auto" w:after="120"/>
        <w:ind w:left="720" w:hanging="720"/>
      </w:pPr>
      <w:r>
        <w:rPr>
          <w:rFonts w:ascii="Calibri" w:hAnsi="Calibri" w:eastAsia="Calibri"/>
          <w:sz w:val="22"/>
        </w:rPr>
        <w:t xml:space="preserve">Kalyuga, S., Ayres, P., Chandler, P., y Sweller, J. (2003). The expertise reversal effect. </w:t>
      </w:r>
      <w:r>
        <w:rPr>
          <w:rFonts w:ascii="Calibri" w:hAnsi="Calibri" w:eastAsia="Calibri"/>
          <w:i/>
          <w:sz w:val="22"/>
        </w:rPr>
        <w:t>Educational Psychologist, 38</w:t>
      </w:r>
      <w:r>
        <w:rPr>
          <w:rFonts w:ascii="Calibri" w:hAnsi="Calibri" w:eastAsia="Calibri"/>
          <w:sz w:val="22"/>
        </w:rPr>
        <w:t>(1), 23–31. https://doi.org/10.1207/S15326985EP3801_4</w:t>
      </w:r>
    </w:p>
    <w:p>
      <w:pPr>
        <w:spacing w:line="360" w:lineRule="auto" w:after="120"/>
        <w:ind w:left="720" w:hanging="720"/>
      </w:pPr>
      <w:r>
        <w:rPr>
          <w:rFonts w:ascii="Calibri" w:hAnsi="Calibri" w:eastAsia="Calibri"/>
          <w:sz w:val="22"/>
        </w:rPr>
        <w:t xml:space="preserve">Kane, M. T. (2013). Validating the interpretations and uses of test scores. </w:t>
      </w:r>
      <w:r>
        <w:rPr>
          <w:rFonts w:ascii="Calibri" w:hAnsi="Calibri" w:eastAsia="Calibri"/>
          <w:i/>
          <w:sz w:val="22"/>
        </w:rPr>
        <w:t>Journal of Educational Measurement, 50</w:t>
      </w:r>
      <w:r>
        <w:rPr>
          <w:rFonts w:ascii="Calibri" w:hAnsi="Calibri" w:eastAsia="Calibri"/>
          <w:sz w:val="22"/>
        </w:rPr>
        <w:t>(1), 1–73. https://doi.org/10.1111/jedm.12000</w:t>
      </w:r>
    </w:p>
    <w:p>
      <w:pPr>
        <w:spacing w:line="360" w:lineRule="auto" w:after="120"/>
        <w:ind w:left="720" w:hanging="720"/>
      </w:pPr>
      <w:r>
        <w:rPr>
          <w:rFonts w:ascii="Calibri" w:hAnsi="Calibri" w:eastAsia="Calibri"/>
          <w:sz w:val="22"/>
        </w:rPr>
        <w:t xml:space="preserve">Knowles, M. S., Holton, E. F., III, y Swanson, R. A. (2015). </w:t>
      </w:r>
      <w:r>
        <w:rPr>
          <w:rFonts w:ascii="Calibri" w:hAnsi="Calibri" w:eastAsia="Calibri"/>
          <w:i/>
          <w:sz w:val="22"/>
        </w:rPr>
        <w:t>The adult learner: The definitive classic in adult education and human resource development</w:t>
      </w:r>
      <w:r>
        <w:rPr>
          <w:rFonts w:ascii="Calibri" w:hAnsi="Calibri" w:eastAsia="Calibri"/>
          <w:sz w:val="22"/>
        </w:rPr>
        <w:t xml:space="preserve"> (8.ª ed.). Routledge.</w:t>
      </w:r>
    </w:p>
    <w:p>
      <w:pPr>
        <w:spacing w:line="360" w:lineRule="auto" w:after="120"/>
        <w:ind w:left="720" w:hanging="720"/>
      </w:pPr>
      <w:r>
        <w:rPr>
          <w:rFonts w:ascii="Calibri" w:hAnsi="Calibri" w:eastAsia="Calibri"/>
          <w:sz w:val="22"/>
        </w:rPr>
        <w:t xml:space="preserve">Landis, J. R., y Koch, G. G. (1977). The measurement of observer agreement for categorical data. </w:t>
      </w:r>
      <w:r>
        <w:rPr>
          <w:rFonts w:ascii="Calibri" w:hAnsi="Calibri" w:eastAsia="Calibri"/>
          <w:i/>
          <w:sz w:val="22"/>
        </w:rPr>
        <w:t>Biometrics, 33</w:t>
      </w:r>
      <w:r>
        <w:rPr>
          <w:rFonts w:ascii="Calibri" w:hAnsi="Calibri" w:eastAsia="Calibri"/>
          <w:sz w:val="22"/>
        </w:rPr>
        <w:t>(1), 159–174. https://doi.org/10.2307/2529310</w:t>
      </w:r>
    </w:p>
    <w:p>
      <w:pPr>
        <w:spacing w:line="360" w:lineRule="auto" w:after="120"/>
        <w:ind w:left="720" w:hanging="720"/>
      </w:pPr>
      <w:r>
        <w:rPr>
          <w:rFonts w:ascii="Calibri" w:hAnsi="Calibri" w:eastAsia="Calibri"/>
          <w:sz w:val="22"/>
        </w:rPr>
        <w:t xml:space="preserve">Mayer, R. E. (2009). </w:t>
      </w:r>
      <w:r>
        <w:rPr>
          <w:rFonts w:ascii="Calibri" w:hAnsi="Calibri" w:eastAsia="Calibri"/>
          <w:i/>
          <w:sz w:val="22"/>
        </w:rPr>
        <w:t>Multimedia learning</w:t>
      </w:r>
      <w:r>
        <w:rPr>
          <w:rFonts w:ascii="Calibri" w:hAnsi="Calibri" w:eastAsia="Calibri"/>
          <w:sz w:val="22"/>
        </w:rPr>
        <w:t xml:space="preserve"> (2.ª ed.). Cambridge University Press. https://doi.org/10.1017/CBO9780511811678</w:t>
      </w:r>
    </w:p>
    <w:p>
      <w:pPr>
        <w:spacing w:line="360" w:lineRule="auto" w:after="120"/>
        <w:ind w:left="720" w:hanging="720"/>
      </w:pPr>
      <w:r>
        <w:rPr>
          <w:rFonts w:ascii="Calibri" w:hAnsi="Calibri" w:eastAsia="Calibri"/>
          <w:sz w:val="22"/>
        </w:rPr>
        <w:t xml:space="preserve">Nickerson, R. S. (1998). Confirmation bias: A ubiquitous phenomenon in many guises. </w:t>
      </w:r>
      <w:r>
        <w:rPr>
          <w:rFonts w:ascii="Calibri" w:hAnsi="Calibri" w:eastAsia="Calibri"/>
          <w:i/>
          <w:sz w:val="22"/>
        </w:rPr>
        <w:t>Review of General Psychology, 2</w:t>
      </w:r>
      <w:r>
        <w:rPr>
          <w:rFonts w:ascii="Calibri" w:hAnsi="Calibri" w:eastAsia="Calibri"/>
          <w:sz w:val="22"/>
        </w:rPr>
        <w:t>(2), 175–220. https://doi.org/10.1037/1089-2680.2.2.175</w:t>
      </w:r>
    </w:p>
    <w:p>
      <w:pPr>
        <w:spacing w:line="360" w:lineRule="auto" w:after="120"/>
        <w:ind w:left="720" w:hanging="720"/>
      </w:pPr>
      <w:r>
        <w:rPr>
          <w:rFonts w:ascii="Calibri" w:hAnsi="Calibri" w:eastAsia="Calibri"/>
          <w:sz w:val="22"/>
        </w:rPr>
        <w:t xml:space="preserve">Sharma, M., Tong, M., Korbak, T., Duvenaud, D., Askell, A., Bowman, S. R., et al. (2023). </w:t>
      </w:r>
      <w:r>
        <w:rPr>
          <w:rFonts w:ascii="Calibri" w:hAnsi="Calibri" w:eastAsia="Calibri"/>
          <w:i/>
          <w:sz w:val="22"/>
        </w:rPr>
        <w:t>Towards understanding sycophancy in language models</w:t>
      </w:r>
      <w:r>
        <w:rPr>
          <w:rFonts w:ascii="Calibri" w:hAnsi="Calibri" w:eastAsia="Calibri"/>
          <w:sz w:val="22"/>
        </w:rPr>
        <w:t>. arXiv. https://arxiv.org/abs/2310.13548</w:t>
      </w:r>
    </w:p>
    <w:p>
      <w:pPr>
        <w:spacing w:line="360" w:lineRule="auto" w:after="120"/>
        <w:ind w:left="720" w:hanging="720"/>
      </w:pPr>
      <w:r>
        <w:rPr>
          <w:rFonts w:ascii="Calibri" w:hAnsi="Calibri" w:eastAsia="Calibri"/>
          <w:sz w:val="22"/>
        </w:rPr>
        <w:t xml:space="preserve">Sweller, J. (1988). Cognitive load during problem solving: Effects on learning. </w:t>
      </w:r>
      <w:r>
        <w:rPr>
          <w:rFonts w:ascii="Calibri" w:hAnsi="Calibri" w:eastAsia="Calibri"/>
          <w:i/>
          <w:sz w:val="22"/>
        </w:rPr>
        <w:t>Cognitive Science, 12</w:t>
      </w:r>
      <w:r>
        <w:rPr>
          <w:rFonts w:ascii="Calibri" w:hAnsi="Calibri" w:eastAsia="Calibri"/>
          <w:sz w:val="22"/>
        </w:rPr>
        <w:t>(2), 257–285. https://doi.org/10.1207/s15516709cog1202_4</w:t>
      </w:r>
    </w:p>
    <w:p>
      <w:pPr>
        <w:spacing w:line="360" w:lineRule="auto" w:after="120"/>
        <w:ind w:left="720" w:hanging="720"/>
      </w:pPr>
      <w:r>
        <w:rPr>
          <w:rFonts w:ascii="Calibri" w:hAnsi="Calibri" w:eastAsia="Calibri"/>
          <w:sz w:val="22"/>
        </w:rPr>
        <w:t xml:space="preserve">Tversky, A., y Kahneman, D. (1974). Judgment under uncertainty: Heuristics and biases. </w:t>
      </w:r>
      <w:r>
        <w:rPr>
          <w:rFonts w:ascii="Calibri" w:hAnsi="Calibri" w:eastAsia="Calibri"/>
          <w:i/>
          <w:sz w:val="22"/>
        </w:rPr>
        <w:t>Science, 185</w:t>
      </w:r>
      <w:r>
        <w:rPr>
          <w:rFonts w:ascii="Calibri" w:hAnsi="Calibri" w:eastAsia="Calibri"/>
          <w:sz w:val="22"/>
        </w:rPr>
        <w:t>(4157), 1124–1131. https://doi.org/10.1126/science.185.4157.1124</w:t>
      </w:r>
    </w:p>
    <w:p>
      <w:pPr>
        <w:spacing w:line="360" w:lineRule="auto" w:after="120"/>
        <w:ind w:left="720" w:hanging="720"/>
      </w:pPr>
      <w:r>
        <w:rPr>
          <w:rFonts w:ascii="Calibri" w:hAnsi="Calibri" w:eastAsia="Calibri"/>
          <w:sz w:val="22"/>
        </w:rPr>
        <w:t xml:space="preserve">Wood, D., Bruner, J. S., y Ross, G. (1976). The role of tutoring in problem solving. </w:t>
      </w:r>
      <w:r>
        <w:rPr>
          <w:rFonts w:ascii="Calibri" w:hAnsi="Calibri" w:eastAsia="Calibri"/>
          <w:i/>
          <w:sz w:val="22"/>
        </w:rPr>
        <w:t>Journal of Child Psychology and Psychiatry, 17</w:t>
      </w:r>
      <w:r>
        <w:rPr>
          <w:rFonts w:ascii="Calibri" w:hAnsi="Calibri" w:eastAsia="Calibri"/>
          <w:sz w:val="22"/>
        </w:rPr>
        <w:t>(2), 89–100. https://doi.org/10.1111/j.1469-7610.1976.tb00381.x</w:t>
      </w:r>
    </w:p>
    <w:p>
      <w:pPr>
        <w:spacing w:line="360" w:lineRule="auto" w:after="120"/>
        <w:ind w:left="720" w:hanging="720"/>
      </w:pPr>
      <w:r>
        <w:rPr>
          <w:rFonts w:ascii="Calibri" w:hAnsi="Calibri" w:eastAsia="Calibri"/>
          <w:sz w:val="22"/>
        </w:rPr>
        <w:t xml:space="preserve">Zheng, L., Chiang, W.-L., Sheng, Y., Zhuang, S., Wu, Z., Zhuang, Y., et al. (2023). </w:t>
      </w:r>
      <w:r>
        <w:rPr>
          <w:rFonts w:ascii="Calibri" w:hAnsi="Calibri" w:eastAsia="Calibri"/>
          <w:i/>
          <w:sz w:val="22"/>
        </w:rPr>
        <w:t>Judging LLM-as-a-judge with MT-Bench and Chatbot Arena</w:t>
      </w:r>
      <w:r>
        <w:rPr>
          <w:rFonts w:ascii="Calibri" w:hAnsi="Calibri" w:eastAsia="Calibri"/>
          <w:sz w:val="22"/>
        </w:rPr>
        <w:t>. arXiv. https://arxiv.org/abs/2306.05685</w:t>
      </w:r>
    </w:p>
    <w:p>
      <w:pPr>
        <w:spacing w:line="360" w:lineRule="auto" w:after="120"/>
        <w:ind w:left="720" w:hanging="720"/>
      </w:pPr>
      <w:r>
        <w:rPr>
          <w:rFonts w:ascii="Calibri" w:hAnsi="Calibri" w:eastAsia="Calibri"/>
          <w:sz w:val="22"/>
        </w:rPr>
        <w:t xml:space="preserve">Zheng, M., Pei, J., Logeswaran, L., Lee, M., y Jurgens, D. (2024). </w:t>
      </w:r>
      <w:r>
        <w:rPr>
          <w:rFonts w:ascii="Calibri" w:hAnsi="Calibri" w:eastAsia="Calibri"/>
          <w:i/>
          <w:sz w:val="22"/>
        </w:rPr>
        <w:t>When “a helpful assistant” is not really helpful: Personas in system prompts do not improve performances of large language models</w:t>
      </w:r>
      <w:r>
        <w:rPr>
          <w:rFonts w:ascii="Calibri" w:hAnsi="Calibri" w:eastAsia="Calibri"/>
          <w:sz w:val="22"/>
        </w:rPr>
        <w:t>. arXiv. https://arxiv.org/abs/2311.10054</w:t>
      </w:r>
    </w:p>
    <w:p>
      <w:pPr>
        <w:keepNext/>
        <w:spacing w:line="276" w:lineRule="auto" w:before="200" w:after="120"/>
        <w:jc w:val="left"/>
      </w:pPr>
      <w:r>
        <w:rPr>
          <w:rFonts w:ascii="Calibri" w:hAnsi="Calibri"/>
          <w:b/>
          <w:color w:val="666666"/>
          <w:sz w:val="25"/>
        </w:rPr>
        <w:t>Norma de citación</w:t>
      </w:r>
    </w:p>
    <w:p>
      <w:pPr>
        <w:spacing w:line="360" w:lineRule="auto" w:after="120"/>
        <w:ind w:left="720" w:hanging="720"/>
      </w:pPr>
      <w:r>
        <w:rPr>
          <w:rFonts w:ascii="Calibri" w:hAnsi="Calibri" w:eastAsia="Calibri"/>
          <w:sz w:val="22"/>
        </w:rPr>
        <w:t xml:space="preserve">American Psychological Association. (2020). </w:t>
      </w:r>
      <w:r>
        <w:rPr>
          <w:rFonts w:ascii="Calibri" w:hAnsi="Calibri" w:eastAsia="Calibri"/>
          <w:i/>
          <w:sz w:val="22"/>
        </w:rPr>
        <w:t>Publication manual of the American Psychological Association</w:t>
      </w:r>
      <w:r>
        <w:rPr>
          <w:rFonts w:ascii="Calibri" w:hAnsi="Calibri" w:eastAsia="Calibri"/>
          <w:sz w:val="22"/>
        </w:rPr>
        <w:t xml:space="preserve"> (7.ª ed.). https://doi.org/10.1037/0000165-000</w:t>
      </w:r>
    </w:p>
    <w:p>
      <w:pPr>
        <w:keepNext/>
        <w:spacing w:line="276" w:lineRule="auto" w:before="200" w:after="120"/>
        <w:jc w:val="left"/>
      </w:pPr>
      <w:r>
        <w:rPr>
          <w:rFonts w:ascii="Calibri" w:hAnsi="Calibri"/>
          <w:b/>
          <w:color w:val="666666"/>
          <w:sz w:val="25"/>
        </w:rPr>
        <w:t>Fuentes normativas</w:t>
      </w:r>
    </w:p>
    <w:p>
      <w:pPr>
        <w:spacing w:line="360" w:lineRule="auto" w:after="120"/>
        <w:ind w:left="720" w:hanging="720"/>
      </w:pPr>
      <w:r>
        <w:rPr>
          <w:rFonts w:ascii="Calibri" w:hAnsi="Calibri" w:eastAsia="Calibri"/>
          <w:sz w:val="22"/>
        </w:rPr>
        <w:t>Ley 19.628 de 1999. Sobre protección de la vida privada. Diario Oficial de la República de Chile.</w:t>
      </w:r>
    </w:p>
    <w:p>
      <w:pPr>
        <w:spacing w:line="360" w:lineRule="auto" w:after="120"/>
        <w:ind w:left="720" w:hanging="720"/>
      </w:pPr>
      <w:r>
        <w:rPr>
          <w:rFonts w:ascii="Calibri" w:hAnsi="Calibri" w:eastAsia="Calibri"/>
          <w:sz w:val="22"/>
        </w:rPr>
        <w:t>Ley 21.719 de 2024. Regula la protección y el tratamiento de los datos personales y crea la Agencia de Protección de Datos Personales. Diario Oficial de la República de Chile.</w:t>
      </w:r>
    </w:p>
    <w:p>
      <w:pPr>
        <w:keepNext/>
        <w:spacing w:line="276" w:lineRule="auto" w:before="200" w:after="120"/>
        <w:jc w:val="left"/>
      </w:pPr>
      <w:r>
        <w:rPr>
          <w:rFonts w:ascii="Calibri" w:hAnsi="Calibri"/>
          <w:b/>
          <w:color w:val="666666"/>
          <w:sz w:val="25"/>
        </w:rPr>
        <w:t>Fuentes institucionales</w:t>
      </w:r>
    </w:p>
    <w:p>
      <w:pPr>
        <w:spacing w:line="360" w:lineRule="auto" w:after="120"/>
        <w:ind w:left="720" w:hanging="720"/>
      </w:pPr>
      <w:r>
        <w:rPr>
          <w:rFonts w:ascii="Calibri" w:hAnsi="Calibri" w:eastAsia="Calibri"/>
          <w:sz w:val="22"/>
        </w:rPr>
        <w:t xml:space="preserve">Duoc UC. (s. f.). </w:t>
      </w:r>
      <w:r>
        <w:rPr>
          <w:rFonts w:ascii="Calibri" w:hAnsi="Calibri" w:eastAsia="Calibri"/>
          <w:i/>
          <w:sz w:val="22"/>
        </w:rPr>
        <w:t>Normas de presentación de trabajos escritos</w:t>
      </w:r>
      <w:r>
        <w:rPr>
          <w:rFonts w:ascii="Calibri" w:hAnsi="Calibri" w:eastAsia="Calibri"/>
          <w:sz w:val="22"/>
        </w:rPr>
        <w:t xml:space="preserve"> [Documento institucional de Bibliotecas Duoc UC].</w:t>
      </w:r>
    </w:p>
    <w:p>
      <w:pPr>
        <w:keepNext/>
        <w:spacing w:line="276" w:lineRule="auto" w:before="200" w:after="120"/>
        <w:jc w:val="left"/>
      </w:pPr>
      <w:r>
        <w:rPr>
          <w:rFonts w:ascii="Calibri" w:hAnsi="Calibri"/>
          <w:b/>
          <w:color w:val="666666"/>
          <w:sz w:val="25"/>
        </w:rPr>
        <w:t>Material analizado</w:t>
      </w:r>
    </w:p>
    <w:p>
      <w:pPr>
        <w:spacing w:line="360" w:lineRule="auto" w:after="120"/>
        <w:ind w:left="720" w:hanging="720"/>
      </w:pPr>
      <w:r>
        <w:rPr>
          <w:rFonts w:ascii="Calibri" w:hAnsi="Calibri" w:eastAsia="Calibri"/>
          <w:sz w:val="22"/>
        </w:rPr>
        <w:t xml:space="preserve">Carrasco Navarrete, J. A. (s. f.-a). </w:t>
      </w:r>
      <w:r>
        <w:rPr>
          <w:rFonts w:ascii="Calibri" w:hAnsi="Calibri" w:eastAsia="Calibri"/>
          <w:i/>
          <w:sz w:val="22"/>
        </w:rPr>
        <w:t>Instrucción de sistema: GEM — Arquitecto Pedagógico de Casos Situados, v2.0</w:t>
      </w:r>
      <w:r>
        <w:rPr>
          <w:rFonts w:ascii="Calibri" w:hAnsi="Calibri" w:eastAsia="Calibri"/>
          <w:sz w:val="22"/>
        </w:rPr>
        <w:t xml:space="preserve"> [Documento inédito].</w:t>
      </w:r>
    </w:p>
    <w:p>
      <w:pPr>
        <w:spacing w:line="360" w:lineRule="auto" w:after="120"/>
        <w:ind w:left="720" w:hanging="720"/>
      </w:pPr>
      <w:r>
        <w:rPr>
          <w:rFonts w:ascii="Calibri" w:hAnsi="Calibri" w:eastAsia="Calibri"/>
          <w:sz w:val="22"/>
        </w:rPr>
        <w:t xml:space="preserve">Carrasco Navarrete, J. A. (s. f.-b). </w:t>
      </w:r>
      <w:r>
        <w:rPr>
          <w:rFonts w:ascii="Calibri" w:hAnsi="Calibri" w:eastAsia="Calibri"/>
          <w:i/>
          <w:sz w:val="22"/>
        </w:rPr>
        <w:t>Prompt maestro nivel dirección ejecutiva y auditoría científica de resultados de IA</w:t>
      </w:r>
      <w:r>
        <w:rPr>
          <w:rFonts w:ascii="Calibri" w:hAnsi="Calibri" w:eastAsia="Calibri"/>
          <w:sz w:val="22"/>
        </w:rPr>
        <w:t xml:space="preserve"> [Documento inédito].</w:t>
      </w:r>
    </w:p>
    <w:p>
      <w:pPr>
        <w:keepNext/>
        <w:spacing w:line="276" w:lineRule="auto" w:before="200" w:after="120"/>
        <w:jc w:val="left"/>
      </w:pPr>
      <w:r>
        <w:rPr>
          <w:rFonts w:ascii="Calibri" w:hAnsi="Calibri"/>
          <w:b/>
          <w:color w:val="666666"/>
          <w:sz w:val="25"/>
        </w:rPr>
        <w:t>Fuentes técnicas y herramientas de IA</w:t>
      </w:r>
    </w:p>
    <w:p>
      <w:pPr>
        <w:spacing w:line="360" w:lineRule="auto" w:after="120"/>
        <w:ind w:left="720" w:hanging="720"/>
      </w:pPr>
      <w:r>
        <w:rPr>
          <w:rFonts w:ascii="Calibri" w:hAnsi="Calibri" w:eastAsia="Calibri"/>
          <w:sz w:val="22"/>
        </w:rPr>
        <w:t xml:space="preserve">Anthropic. (2026). </w:t>
      </w:r>
      <w:r>
        <w:rPr>
          <w:rFonts w:ascii="Calibri" w:hAnsi="Calibri" w:eastAsia="Calibri"/>
          <w:i/>
          <w:sz w:val="22"/>
        </w:rPr>
        <w:t>Claude Sonnet 5.5</w:t>
      </w:r>
      <w:r>
        <w:rPr>
          <w:rFonts w:ascii="Calibri" w:hAnsi="Calibri" w:eastAsia="Calibri"/>
          <w:sz w:val="22"/>
        </w:rPr>
        <w:t xml:space="preserve"> (versión de octubre) [Modelo de lenguaje de gran tamaño]. https://claude.ai</w:t>
      </w:r>
    </w:p>
    <w:p>
      <w:pPr>
        <w:spacing w:line="360" w:lineRule="auto" w:after="120"/>
        <w:ind w:left="720" w:hanging="720"/>
      </w:pPr>
      <w:r>
        <w:rPr>
          <w:rFonts w:ascii="Calibri" w:hAnsi="Calibri" w:eastAsia="Calibri"/>
          <w:sz w:val="22"/>
        </w:rPr>
        <w:t xml:space="preserve">McAdoo, T. (2023, 7 de abril). </w:t>
      </w:r>
      <w:r>
        <w:rPr>
          <w:rFonts w:ascii="Calibri" w:hAnsi="Calibri" w:eastAsia="Calibri"/>
          <w:i/>
          <w:sz w:val="22"/>
        </w:rPr>
        <w:t>How to cite ChatGPT</w:t>
      </w:r>
      <w:r>
        <w:rPr>
          <w:rFonts w:ascii="Calibri" w:hAnsi="Calibri" w:eastAsia="Calibri"/>
          <w:sz w:val="22"/>
        </w:rPr>
        <w:t>. APA Style. https://apastyle.apa.org/blog/how-to-cite-chatgpt</w:t>
      </w:r>
    </w:p>
    <w:p>
      <w:pPr>
        <w:keepNext/>
        <w:spacing w:line="276" w:lineRule="auto" w:before="280" w:after="160"/>
        <w:ind w:left="173"/>
        <w:jc w:val="left"/>
        <w:pBdr>
          <w:left w:val="single" w:sz="36" w:space="8" w:color="FFB800"/>
        </w:pBdr>
      </w:pPr>
      <w:r>
        <w:rPr>
          <w:rFonts w:ascii="Calibri" w:hAnsi="Calibri"/>
          <w:b/>
          <w:color w:val="1A1A1A"/>
          <w:sz w:val="30"/>
        </w:rPr>
        <w:t>3. Cuadro de uso y verificación</w:t>
      </w:r>
    </w:p>
    <w:tbl>
      <w:tblPr>
        <w:tblW w:type="auto" w:w="0"/>
        <w:jc w:val="center"/>
        <w:tblLayout w:type="fixed"/>
        <w:tblLook w:firstColumn="1" w:firstRow="1" w:lastColumn="0" w:lastRow="0" w:noHBand="0" w:noVBand="1" w:val="04A0"/>
        <w:tblLayout w:type="fixed"/>
      </w:tblPr>
      <w:tblGrid>
        <w:gridCol w:w="2448"/>
        <w:gridCol w:w="1440"/>
        <w:gridCol w:w="2880"/>
        <w:gridCol w:w="2592"/>
      </w:tblGrid>
      <w:tr>
        <w:trPr>
          <w:tblHeader w:val="true"/>
        </w:trPr>
        <w:tc>
          <w:tcPr>
            <w:tcW w:type="dxa" w:w="2448"/>
            <w:shd w:val="clear" w:color="auto" w:fill="1A1A1A"/>
          </w:tcPr>
          <w:p>
            <w:pPr>
              <w:keepNext w:val="0"/>
              <w:spacing w:line="240" w:lineRule="auto" w:before="40" w:after="40"/>
              <w:jc w:val="left"/>
            </w:pPr>
            <w:r>
              <w:rPr>
                <w:rFonts w:ascii="Calibri" w:hAnsi="Calibri"/>
                <w:b/>
                <w:color w:val="FFFFFF"/>
                <w:sz w:val="17"/>
              </w:rPr>
              <w:t>Fuente (autor, año)</w:t>
            </w:r>
          </w:p>
        </w:tc>
        <w:tc>
          <w:tcPr>
            <w:tcW w:type="dxa" w:w="1440"/>
            <w:shd w:val="clear" w:color="auto" w:fill="1A1A1A"/>
          </w:tcPr>
          <w:p>
            <w:pPr>
              <w:keepNext w:val="0"/>
              <w:spacing w:line="240" w:lineRule="auto" w:before="40" w:after="40"/>
              <w:jc w:val="left"/>
            </w:pPr>
            <w:r>
              <w:rPr>
                <w:rFonts w:ascii="Calibri" w:hAnsi="Calibri"/>
                <w:b/>
                <w:color w:val="FFFFFF"/>
                <w:sz w:val="17"/>
              </w:rPr>
              <w:t>Categoría</w:t>
            </w:r>
          </w:p>
        </w:tc>
        <w:tc>
          <w:tcPr>
            <w:tcW w:type="dxa" w:w="2880"/>
            <w:shd w:val="clear" w:color="auto" w:fill="1A1A1A"/>
          </w:tcPr>
          <w:p>
            <w:pPr>
              <w:keepNext w:val="0"/>
              <w:spacing w:line="240" w:lineRule="auto" w:before="40" w:after="40"/>
              <w:jc w:val="left"/>
            </w:pPr>
            <w:r>
              <w:rPr>
                <w:rFonts w:ascii="Calibri" w:hAnsi="Calibri"/>
                <w:b/>
                <w:color w:val="FFFFFF"/>
                <w:sz w:val="17"/>
              </w:rPr>
              <w:t>Uso en el proyecto</w:t>
            </w:r>
          </w:p>
        </w:tc>
        <w:tc>
          <w:tcPr>
            <w:tcW w:type="dxa" w:w="2592"/>
            <w:shd w:val="clear" w:color="auto" w:fill="1A1A1A"/>
          </w:tcPr>
          <w:p>
            <w:pPr>
              <w:keepNext w:val="0"/>
              <w:spacing w:line="240" w:lineRule="auto" w:before="40" w:after="40"/>
              <w:jc w:val="left"/>
            </w:pPr>
            <w:r>
              <w:rPr>
                <w:rFonts w:ascii="Calibri" w:hAnsi="Calibri"/>
                <w:b/>
                <w:color w:val="FFFFFF"/>
                <w:sz w:val="17"/>
              </w:rPr>
              <w:t>Estado de verificación</w:t>
            </w:r>
          </w:p>
        </w:tc>
      </w:tr>
      <w:tr>
        <w:trPr>
          <w:cantSplit w:val="true"/>
        </w:trPr>
        <w:tc>
          <w:tcPr>
            <w:tcW w:type="dxa" w:w="2448"/>
          </w:tcPr>
          <w:p>
            <w:pPr>
              <w:keepNext w:val="0"/>
              <w:spacing w:line="240" w:lineRule="auto" w:before="40" w:after="40"/>
              <w:jc w:val="left"/>
            </w:pPr>
            <w:r>
              <w:rPr>
                <w:rFonts w:ascii="Calibri" w:hAnsi="Calibri" w:eastAsia="Calibri"/>
                <w:sz w:val="17"/>
              </w:rPr>
              <w:t>Anderson (2001)</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Niveles cognitivos D1–D4 (P1).</w:t>
            </w:r>
          </w:p>
        </w:tc>
        <w:tc>
          <w:tcPr>
            <w:tcW w:type="dxa" w:w="2592"/>
          </w:tcPr>
          <w:p>
            <w:pPr>
              <w:keepNext w:val="0"/>
              <w:spacing w:line="240" w:lineRule="auto" w:before="40" w:after="40"/>
              <w:jc w:val="left"/>
            </w:pPr>
            <w:r>
              <w:rPr>
                <w:rFonts w:ascii="Calibri" w:hAnsi="Calibri" w:eastAsia="Calibri"/>
                <w:sz w:val="17"/>
              </w:rPr>
              <w:t>No verificada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Biggs (1996)</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Alineamiento rúbrica–caso (P1).</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Dhuliawala (2023)</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Paso 9 de autocontrol (P2).</w:t>
            </w:r>
          </w:p>
        </w:tc>
        <w:tc>
          <w:tcPr>
            <w:tcW w:type="dxa" w:w="2592"/>
          </w:tcPr>
          <w:p>
            <w:pPr>
              <w:keepNext w:val="0"/>
              <w:spacing w:line="240" w:lineRule="auto" w:before="40" w:after="40"/>
              <w:jc w:val="left"/>
            </w:pPr>
            <w:r>
              <w:rPr>
                <w:rFonts w:ascii="Calibri" w:hAnsi="Calibri" w:eastAsia="Calibri"/>
                <w:sz w:val="17"/>
              </w:rPr>
              <w:t>Identificador arXiv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Ji (2023)</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Fundamento anti-alucinación (P1, P2).</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Kalyuga (2003)</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Andamiaje según experiencia (P1).</w:t>
            </w:r>
          </w:p>
        </w:tc>
        <w:tc>
          <w:tcPr>
            <w:tcW w:type="dxa" w:w="2592"/>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Kane (2013)</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Argumento de validez de rúbricas y puntuaciones.</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Knowles (2015)</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Perfil de estudiantes adultos (P1).</w:t>
            </w:r>
          </w:p>
        </w:tc>
        <w:tc>
          <w:tcPr>
            <w:tcW w:type="dxa" w:w="2592"/>
          </w:tcPr>
          <w:p>
            <w:pPr>
              <w:keepNext w:val="0"/>
              <w:spacing w:line="240" w:lineRule="auto" w:before="40" w:after="40"/>
              <w:jc w:val="left"/>
            </w:pPr>
            <w:r>
              <w:rPr>
                <w:rFonts w:ascii="Calibri" w:hAnsi="Calibri" w:eastAsia="Calibri"/>
                <w:sz w:val="17"/>
              </w:rPr>
              <w:t>No verificada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Landis (1977)</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Acuerdo entre revisores en pilotos (P1, P2).</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Mayer (2009)</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Carga cognitiva y diseño de materiales (P1).</w:t>
            </w:r>
          </w:p>
        </w:tc>
        <w:tc>
          <w:tcPr>
            <w:tcW w:type="dxa" w:w="2592"/>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Nickerson (1998)</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Detección de sesgo de confirmación (P2).</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Sharma (2023)</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Regla R4 contra complacencia (P2).</w:t>
            </w:r>
          </w:p>
        </w:tc>
        <w:tc>
          <w:tcPr>
            <w:tcW w:type="dxa" w:w="2592"/>
          </w:tcPr>
          <w:p>
            <w:pPr>
              <w:keepNext w:val="0"/>
              <w:spacing w:line="240" w:lineRule="auto" w:before="40" w:after="40"/>
              <w:jc w:val="left"/>
            </w:pPr>
            <w:r>
              <w:rPr>
                <w:rFonts w:ascii="Calibri" w:hAnsi="Calibri" w:eastAsia="Calibri"/>
                <w:sz w:val="17"/>
              </w:rPr>
              <w:t>Identificador arXiv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Sweller (1988)</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Carga cognitiva (P1).</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Tversky (1974)</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Línea base independiente contra anclaje (P2).</w:t>
            </w:r>
          </w:p>
        </w:tc>
        <w:tc>
          <w:tcPr>
            <w:tcW w:type="dxa" w:w="2592"/>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Wood (1976)</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Andamiaje progresivo (P1).</w:t>
            </w:r>
          </w:p>
        </w:tc>
        <w:tc>
          <w:tcPr>
            <w:tcW w:type="dxa" w:w="2592"/>
            <w:shd w:val="clear" w:color="auto" w:fill="EEEEEE"/>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tcPr>
          <w:p>
            <w:pPr>
              <w:keepNext w:val="0"/>
              <w:spacing w:line="240" w:lineRule="auto" w:before="40" w:after="40"/>
              <w:jc w:val="left"/>
            </w:pPr>
            <w:r>
              <w:rPr>
                <w:rFonts w:ascii="Calibri" w:hAnsi="Calibri" w:eastAsia="Calibri"/>
                <w:sz w:val="17"/>
              </w:rPr>
              <w:t>Zheng (2023)</w:t>
            </w:r>
          </w:p>
        </w:tc>
        <w:tc>
          <w:tcPr>
            <w:tcW w:type="dxa" w:w="1440"/>
          </w:tcPr>
          <w:p>
            <w:pPr>
              <w:keepNext w:val="0"/>
              <w:spacing w:line="240" w:lineRule="auto" w:before="40" w:after="40"/>
              <w:jc w:val="left"/>
            </w:pPr>
            <w:r>
              <w:rPr>
                <w:rFonts w:ascii="Calibri" w:hAnsi="Calibri" w:eastAsia="Calibri"/>
                <w:sz w:val="17"/>
              </w:rPr>
              <w:t>Académica</w:t>
            </w:r>
          </w:p>
        </w:tc>
        <w:tc>
          <w:tcPr>
            <w:tcW w:type="dxa" w:w="2880"/>
          </w:tcPr>
          <w:p>
            <w:pPr>
              <w:keepNext w:val="0"/>
              <w:spacing w:line="240" w:lineRule="auto" w:before="40" w:after="40"/>
              <w:jc w:val="left"/>
            </w:pPr>
            <w:r>
              <w:rPr>
                <w:rFonts w:ascii="Calibri" w:hAnsi="Calibri" w:eastAsia="Calibri"/>
                <w:sz w:val="17"/>
              </w:rPr>
              <w:t>Sesgos de posición y verbosidad; doble orden (P2).</w:t>
            </w:r>
          </w:p>
        </w:tc>
        <w:tc>
          <w:tcPr>
            <w:tcW w:type="dxa" w:w="2592"/>
          </w:tcPr>
          <w:p>
            <w:pPr>
              <w:keepNext w:val="0"/>
              <w:spacing w:line="240" w:lineRule="auto" w:before="40" w:after="40"/>
              <w:jc w:val="left"/>
            </w:pPr>
            <w:r>
              <w:rPr>
                <w:rFonts w:ascii="Calibri" w:hAnsi="Calibri" w:eastAsia="Calibri"/>
                <w:sz w:val="17"/>
              </w:rPr>
              <w:t>Identificador arXiv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Zheng (2024)</w:t>
            </w:r>
          </w:p>
        </w:tc>
        <w:tc>
          <w:tcPr>
            <w:tcW w:type="dxa" w:w="1440"/>
            <w:shd w:val="clear" w:color="auto" w:fill="EEEEEE"/>
          </w:tcPr>
          <w:p>
            <w:pPr>
              <w:keepNext w:val="0"/>
              <w:spacing w:line="240" w:lineRule="auto" w:before="40" w:after="40"/>
              <w:jc w:val="left"/>
            </w:pPr>
            <w:r>
              <w:rPr>
                <w:rFonts w:ascii="Calibri" w:hAnsi="Calibri" w:eastAsia="Calibri"/>
                <w:sz w:val="17"/>
              </w:rPr>
              <w:t>Académica</w:t>
            </w:r>
          </w:p>
        </w:tc>
        <w:tc>
          <w:tcPr>
            <w:tcW w:type="dxa" w:w="2880"/>
            <w:shd w:val="clear" w:color="auto" w:fill="EEEEEE"/>
          </w:tcPr>
          <w:p>
            <w:pPr>
              <w:keepNext w:val="0"/>
              <w:spacing w:line="240" w:lineRule="auto" w:before="40" w:after="40"/>
              <w:jc w:val="left"/>
            </w:pPr>
            <w:r>
              <w:rPr>
                <w:rFonts w:ascii="Calibri" w:hAnsi="Calibri" w:eastAsia="Calibri"/>
                <w:sz w:val="17"/>
              </w:rPr>
              <w:t>Sustitución del panel de personas por pasadas funcionales (P2).</w:t>
            </w:r>
          </w:p>
        </w:tc>
        <w:tc>
          <w:tcPr>
            <w:tcW w:type="dxa" w:w="2592"/>
            <w:shd w:val="clear" w:color="auto" w:fill="EEEEEE"/>
          </w:tcPr>
          <w:p>
            <w:pPr>
              <w:keepNext w:val="0"/>
              <w:spacing w:line="240" w:lineRule="auto" w:before="40" w:after="40"/>
              <w:jc w:val="left"/>
            </w:pPr>
            <w:r>
              <w:rPr>
                <w:rFonts w:ascii="Calibri" w:hAnsi="Calibri" w:eastAsia="Calibri"/>
                <w:sz w:val="17"/>
              </w:rPr>
              <w:t>PRIORIDAD ALTA: confirmar título, año y conclusión antes de citar</w:t>
            </w:r>
          </w:p>
        </w:tc>
      </w:tr>
      <w:tr>
        <w:trPr>
          <w:cantSplit w:val="true"/>
        </w:trPr>
        <w:tc>
          <w:tcPr>
            <w:tcW w:type="dxa" w:w="2448"/>
          </w:tcPr>
          <w:p>
            <w:pPr>
              <w:keepNext w:val="0"/>
              <w:spacing w:line="240" w:lineRule="auto" w:before="40" w:after="40"/>
              <w:jc w:val="left"/>
            </w:pPr>
            <w:r>
              <w:rPr>
                <w:rFonts w:ascii="Calibri" w:hAnsi="Calibri" w:eastAsia="Calibri"/>
                <w:sz w:val="17"/>
              </w:rPr>
              <w:t>American Psychological Association. (2020)</w:t>
            </w:r>
          </w:p>
        </w:tc>
        <w:tc>
          <w:tcPr>
            <w:tcW w:type="dxa" w:w="1440"/>
          </w:tcPr>
          <w:p>
            <w:pPr>
              <w:keepNext w:val="0"/>
              <w:spacing w:line="240" w:lineRule="auto" w:before="40" w:after="40"/>
              <w:jc w:val="left"/>
            </w:pPr>
            <w:r>
              <w:rPr>
                <w:rFonts w:ascii="Calibri" w:hAnsi="Calibri" w:eastAsia="Calibri"/>
                <w:sz w:val="17"/>
              </w:rPr>
              <w:t>Norma de citación</w:t>
            </w:r>
          </w:p>
        </w:tc>
        <w:tc>
          <w:tcPr>
            <w:tcW w:type="dxa" w:w="2880"/>
          </w:tcPr>
          <w:p>
            <w:pPr>
              <w:keepNext w:val="0"/>
              <w:spacing w:line="240" w:lineRule="auto" w:before="40" w:after="40"/>
              <w:jc w:val="left"/>
            </w:pPr>
            <w:r>
              <w:rPr>
                <w:rFonts w:ascii="Calibri" w:hAnsi="Calibri" w:eastAsia="Calibri"/>
                <w:sz w:val="17"/>
              </w:rPr>
              <w:t>Formato de citas y referencias.</w:t>
            </w:r>
          </w:p>
        </w:tc>
        <w:tc>
          <w:tcPr>
            <w:tcW w:type="dxa" w:w="2592"/>
          </w:tcPr>
          <w:p>
            <w:pPr>
              <w:keepNext w:val="0"/>
              <w:spacing w:line="240" w:lineRule="auto" w:before="40" w:after="40"/>
              <w:jc w:val="left"/>
            </w:pPr>
            <w:r>
              <w:rPr>
                <w:rFonts w:ascii="Calibri" w:hAnsi="Calibri" w:eastAsia="Calibri"/>
                <w:sz w:val="17"/>
              </w:rPr>
              <w:t>DOI no verificado en línea</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 xml:space="preserve">Ley 19.628 de 1999. Sobre protección de </w:t>
            </w:r>
          </w:p>
        </w:tc>
        <w:tc>
          <w:tcPr>
            <w:tcW w:type="dxa" w:w="1440"/>
            <w:shd w:val="clear" w:color="auto" w:fill="EEEEEE"/>
          </w:tcPr>
          <w:p>
            <w:pPr>
              <w:keepNext w:val="0"/>
              <w:spacing w:line="240" w:lineRule="auto" w:before="40" w:after="40"/>
              <w:jc w:val="left"/>
            </w:pPr>
            <w:r>
              <w:rPr>
                <w:rFonts w:ascii="Calibri" w:hAnsi="Calibri" w:eastAsia="Calibri"/>
                <w:sz w:val="17"/>
              </w:rPr>
              <w:t>Normativa</w:t>
            </w:r>
          </w:p>
        </w:tc>
        <w:tc>
          <w:tcPr>
            <w:tcW w:type="dxa" w:w="2880"/>
            <w:shd w:val="clear" w:color="auto" w:fill="EEEEEE"/>
          </w:tcPr>
          <w:p>
            <w:pPr>
              <w:keepNext w:val="0"/>
              <w:spacing w:line="240" w:lineRule="auto" w:before="40" w:after="40"/>
              <w:jc w:val="left"/>
            </w:pPr>
            <w:r>
              <w:rPr>
                <w:rFonts w:ascii="Calibri" w:hAnsi="Calibri" w:eastAsia="Calibri"/>
                <w:sz w:val="17"/>
              </w:rPr>
              <w:t>Tratamiento de datos personales (vigente a la fecha, con transición a la Ley 21.719).</w:t>
            </w:r>
          </w:p>
        </w:tc>
        <w:tc>
          <w:tcPr>
            <w:tcW w:type="dxa" w:w="2592"/>
            <w:shd w:val="clear" w:color="auto" w:fill="EEEEEE"/>
          </w:tcPr>
          <w:p>
            <w:pPr>
              <w:keepNext w:val="0"/>
              <w:spacing w:line="240" w:lineRule="auto" w:before="40" w:after="40"/>
              <w:jc w:val="left"/>
            </w:pPr>
            <w:r>
              <w:rPr>
                <w:rFonts w:ascii="Calibri" w:hAnsi="Calibri" w:eastAsia="Calibri"/>
                <w:sz w:val="17"/>
              </w:rPr>
              <w:t>URL de la Biblioteca del Congreso Nacional (BCN) por completar</w:t>
            </w:r>
          </w:p>
        </w:tc>
      </w:tr>
      <w:tr>
        <w:trPr>
          <w:cantSplit w:val="true"/>
        </w:trPr>
        <w:tc>
          <w:tcPr>
            <w:tcW w:type="dxa" w:w="2448"/>
          </w:tcPr>
          <w:p>
            <w:pPr>
              <w:keepNext w:val="0"/>
              <w:spacing w:line="240" w:lineRule="auto" w:before="40" w:after="40"/>
              <w:jc w:val="left"/>
            </w:pPr>
            <w:r>
              <w:rPr>
                <w:rFonts w:ascii="Calibri" w:hAnsi="Calibri" w:eastAsia="Calibri"/>
                <w:sz w:val="17"/>
              </w:rPr>
              <w:t>Ley 21.719 de 2024. Regula la protección</w:t>
            </w:r>
          </w:p>
        </w:tc>
        <w:tc>
          <w:tcPr>
            <w:tcW w:type="dxa" w:w="1440"/>
          </w:tcPr>
          <w:p>
            <w:pPr>
              <w:keepNext w:val="0"/>
              <w:spacing w:line="240" w:lineRule="auto" w:before="40" w:after="40"/>
              <w:jc w:val="left"/>
            </w:pPr>
            <w:r>
              <w:rPr>
                <w:rFonts w:ascii="Calibri" w:hAnsi="Calibri" w:eastAsia="Calibri"/>
                <w:sz w:val="17"/>
              </w:rPr>
              <w:t>Normativa</w:t>
            </w:r>
          </w:p>
        </w:tc>
        <w:tc>
          <w:tcPr>
            <w:tcW w:type="dxa" w:w="2880"/>
          </w:tcPr>
          <w:p>
            <w:pPr>
              <w:keepNext w:val="0"/>
              <w:spacing w:line="240" w:lineRule="auto" w:before="40" w:after="40"/>
              <w:jc w:val="left"/>
            </w:pPr>
            <w:r>
              <w:rPr>
                <w:rFonts w:ascii="Calibri" w:hAnsi="Calibri" w:eastAsia="Calibri"/>
                <w:sz w:val="17"/>
              </w:rPr>
              <w:t>Tratamiento de datos personales (verificar fecha de entrada en vigencia).</w:t>
            </w:r>
          </w:p>
        </w:tc>
        <w:tc>
          <w:tcPr>
            <w:tcW w:type="dxa" w:w="2592"/>
          </w:tcPr>
          <w:p>
            <w:pPr>
              <w:keepNext w:val="0"/>
              <w:spacing w:line="240" w:lineRule="auto" w:before="40" w:after="40"/>
              <w:jc w:val="left"/>
            </w:pPr>
            <w:r>
              <w:rPr>
                <w:rFonts w:ascii="Calibri" w:hAnsi="Calibri" w:eastAsia="Calibri"/>
                <w:sz w:val="17"/>
              </w:rPr>
              <w:t>URL de la BCN y vigencia por confirmar</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Duoc UC. (s. f.)</w:t>
            </w:r>
          </w:p>
        </w:tc>
        <w:tc>
          <w:tcPr>
            <w:tcW w:type="dxa" w:w="1440"/>
            <w:shd w:val="clear" w:color="auto" w:fill="EEEEEE"/>
          </w:tcPr>
          <w:p>
            <w:pPr>
              <w:keepNext w:val="0"/>
              <w:spacing w:line="240" w:lineRule="auto" w:before="40" w:after="40"/>
              <w:jc w:val="left"/>
            </w:pPr>
            <w:r>
              <w:rPr>
                <w:rFonts w:ascii="Calibri" w:hAnsi="Calibri" w:eastAsia="Calibri"/>
                <w:sz w:val="17"/>
              </w:rPr>
              <w:t>Institucional</w:t>
            </w:r>
          </w:p>
        </w:tc>
        <w:tc>
          <w:tcPr>
            <w:tcW w:type="dxa" w:w="2880"/>
            <w:shd w:val="clear" w:color="auto" w:fill="EEEEEE"/>
          </w:tcPr>
          <w:p>
            <w:pPr>
              <w:keepNext w:val="0"/>
              <w:spacing w:line="240" w:lineRule="auto" w:before="40" w:after="40"/>
              <w:jc w:val="left"/>
            </w:pPr>
            <w:r>
              <w:rPr>
                <w:rFonts w:ascii="Calibri" w:hAnsi="Calibri" w:eastAsia="Calibri"/>
                <w:sz w:val="17"/>
              </w:rPr>
              <w:t>Estructura y formato de los informes (portada, índice, interlineado, paleta).</w:t>
            </w:r>
          </w:p>
        </w:tc>
        <w:tc>
          <w:tcPr>
            <w:tcW w:type="dxa" w:w="2592"/>
            <w:shd w:val="clear" w:color="auto" w:fill="EEEEEE"/>
          </w:tcPr>
          <w:p>
            <w:pPr>
              <w:keepNext w:val="0"/>
              <w:spacing w:line="240" w:lineRule="auto" w:before="40" w:after="40"/>
              <w:jc w:val="left"/>
            </w:pPr>
            <w:r>
              <w:rPr>
                <w:rFonts w:ascii="Calibri" w:hAnsi="Calibri" w:eastAsia="Calibri"/>
                <w:sz w:val="17"/>
              </w:rPr>
              <w:t>Título exacto y URL por confirmar con Bibliotecas Duoc UC</w:t>
            </w:r>
          </w:p>
        </w:tc>
      </w:tr>
      <w:tr>
        <w:trPr>
          <w:cantSplit w:val="true"/>
        </w:trPr>
        <w:tc>
          <w:tcPr>
            <w:tcW w:type="dxa" w:w="2448"/>
          </w:tcPr>
          <w:p>
            <w:pPr>
              <w:keepNext w:val="0"/>
              <w:spacing w:line="240" w:lineRule="auto" w:before="40" w:after="40"/>
              <w:jc w:val="left"/>
            </w:pPr>
            <w:r>
              <w:rPr>
                <w:rFonts w:ascii="Calibri" w:hAnsi="Calibri" w:eastAsia="Calibri"/>
                <w:sz w:val="17"/>
              </w:rPr>
              <w:t>Carrasco Navarrete (s. f.-a)</w:t>
            </w:r>
          </w:p>
        </w:tc>
        <w:tc>
          <w:tcPr>
            <w:tcW w:type="dxa" w:w="1440"/>
          </w:tcPr>
          <w:p>
            <w:pPr>
              <w:keepNext w:val="0"/>
              <w:spacing w:line="240" w:lineRule="auto" w:before="40" w:after="40"/>
              <w:jc w:val="left"/>
            </w:pPr>
            <w:r>
              <w:rPr>
                <w:rFonts w:ascii="Calibri" w:hAnsi="Calibri" w:eastAsia="Calibri"/>
                <w:sz w:val="17"/>
              </w:rPr>
              <w:t>Material analizado</w:t>
            </w:r>
          </w:p>
        </w:tc>
        <w:tc>
          <w:tcPr>
            <w:tcW w:type="dxa" w:w="2880"/>
          </w:tcPr>
          <w:p>
            <w:pPr>
              <w:keepNext w:val="0"/>
              <w:spacing w:line="240" w:lineRule="auto" w:before="40" w:after="40"/>
              <w:jc w:val="left"/>
            </w:pPr>
            <w:r>
              <w:rPr>
                <w:rFonts w:ascii="Calibri" w:hAnsi="Calibri" w:eastAsia="Calibri"/>
                <w:sz w:val="17"/>
              </w:rPr>
              <w:t>Prompt 1 original.</w:t>
            </w:r>
          </w:p>
        </w:tc>
        <w:tc>
          <w:tcPr>
            <w:tcW w:type="dxa" w:w="2592"/>
          </w:tcPr>
          <w:p>
            <w:pPr>
              <w:keepNext w:val="0"/>
              <w:spacing w:line="240" w:lineRule="auto" w:before="40" w:after="40"/>
              <w:jc w:val="left"/>
            </w:pPr>
            <w:r>
              <w:rPr>
                <w:rFonts w:ascii="Calibri" w:hAnsi="Calibri" w:eastAsia="Calibri"/>
                <w:sz w:val="17"/>
              </w:rPr>
              <w:t>Archivo adjunto por el autor</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Carrasco Navarrete (s. f.-b)</w:t>
            </w:r>
          </w:p>
        </w:tc>
        <w:tc>
          <w:tcPr>
            <w:tcW w:type="dxa" w:w="1440"/>
            <w:shd w:val="clear" w:color="auto" w:fill="EEEEEE"/>
          </w:tcPr>
          <w:p>
            <w:pPr>
              <w:keepNext w:val="0"/>
              <w:spacing w:line="240" w:lineRule="auto" w:before="40" w:after="40"/>
              <w:jc w:val="left"/>
            </w:pPr>
            <w:r>
              <w:rPr>
                <w:rFonts w:ascii="Calibri" w:hAnsi="Calibri" w:eastAsia="Calibri"/>
                <w:sz w:val="17"/>
              </w:rPr>
              <w:t>Material analizado</w:t>
            </w:r>
          </w:p>
        </w:tc>
        <w:tc>
          <w:tcPr>
            <w:tcW w:type="dxa" w:w="2880"/>
            <w:shd w:val="clear" w:color="auto" w:fill="EEEEEE"/>
          </w:tcPr>
          <w:p>
            <w:pPr>
              <w:keepNext w:val="0"/>
              <w:spacing w:line="240" w:lineRule="auto" w:before="40" w:after="40"/>
              <w:jc w:val="left"/>
            </w:pPr>
            <w:r>
              <w:rPr>
                <w:rFonts w:ascii="Calibri" w:hAnsi="Calibri" w:eastAsia="Calibri"/>
                <w:sz w:val="17"/>
              </w:rPr>
              <w:t>Prompt 2 original.</w:t>
            </w:r>
          </w:p>
        </w:tc>
        <w:tc>
          <w:tcPr>
            <w:tcW w:type="dxa" w:w="2592"/>
            <w:shd w:val="clear" w:color="auto" w:fill="EEEEEE"/>
          </w:tcPr>
          <w:p>
            <w:pPr>
              <w:keepNext w:val="0"/>
              <w:spacing w:line="240" w:lineRule="auto" w:before="40" w:after="40"/>
              <w:jc w:val="left"/>
            </w:pPr>
            <w:r>
              <w:rPr>
                <w:rFonts w:ascii="Calibri" w:hAnsi="Calibri" w:eastAsia="Calibri"/>
                <w:sz w:val="17"/>
              </w:rPr>
              <w:t>Archivo adjunto por el autor</w:t>
            </w:r>
          </w:p>
        </w:tc>
      </w:tr>
      <w:tr>
        <w:trPr>
          <w:cantSplit w:val="true"/>
        </w:trPr>
        <w:tc>
          <w:tcPr>
            <w:tcW w:type="dxa" w:w="2448"/>
          </w:tcPr>
          <w:p>
            <w:pPr>
              <w:keepNext w:val="0"/>
              <w:spacing w:line="240" w:lineRule="auto" w:before="40" w:after="40"/>
              <w:jc w:val="left"/>
            </w:pPr>
            <w:r>
              <w:rPr>
                <w:rFonts w:ascii="Calibri" w:hAnsi="Calibri" w:eastAsia="Calibri"/>
                <w:sz w:val="17"/>
              </w:rPr>
              <w:t>Anthropic. (2026)</w:t>
            </w:r>
          </w:p>
        </w:tc>
        <w:tc>
          <w:tcPr>
            <w:tcW w:type="dxa" w:w="1440"/>
          </w:tcPr>
          <w:p>
            <w:pPr>
              <w:keepNext w:val="0"/>
              <w:spacing w:line="240" w:lineRule="auto" w:before="40" w:after="40"/>
              <w:jc w:val="left"/>
            </w:pPr>
            <w:r>
              <w:rPr>
                <w:rFonts w:ascii="Calibri" w:hAnsi="Calibri" w:eastAsia="Calibri"/>
                <w:sz w:val="17"/>
              </w:rPr>
              <w:t>Técnica / IA</w:t>
            </w:r>
          </w:p>
        </w:tc>
        <w:tc>
          <w:tcPr>
            <w:tcW w:type="dxa" w:w="2880"/>
          </w:tcPr>
          <w:p>
            <w:pPr>
              <w:keepNext w:val="0"/>
              <w:spacing w:line="240" w:lineRule="auto" w:before="40" w:after="40"/>
              <w:jc w:val="left"/>
            </w:pPr>
            <w:r>
              <w:rPr>
                <w:rFonts w:ascii="Calibri" w:hAnsi="Calibri" w:eastAsia="Calibri"/>
                <w:sz w:val="17"/>
              </w:rPr>
              <w:t>Herramienta de asistencia declarada.</w:t>
            </w:r>
          </w:p>
        </w:tc>
        <w:tc>
          <w:tcPr>
            <w:tcW w:type="dxa" w:w="2592"/>
          </w:tcPr>
          <w:p>
            <w:pPr>
              <w:keepNext w:val="0"/>
              <w:spacing w:line="240" w:lineRule="auto" w:before="40" w:after="40"/>
              <w:jc w:val="left"/>
            </w:pPr>
            <w:r>
              <w:rPr>
                <w:rFonts w:ascii="Calibri" w:hAnsi="Calibri" w:eastAsia="Calibri"/>
                <w:sz w:val="17"/>
              </w:rPr>
              <w:t>Versión y fecha según sesión de trabajo</w:t>
            </w:r>
          </w:p>
        </w:tc>
      </w:tr>
      <w:tr>
        <w:trPr>
          <w:cantSplit w:val="true"/>
        </w:trPr>
        <w:tc>
          <w:tcPr>
            <w:tcW w:type="dxa" w:w="2448"/>
            <w:shd w:val="clear" w:color="auto" w:fill="EEEEEE"/>
          </w:tcPr>
          <w:p>
            <w:pPr>
              <w:keepNext w:val="0"/>
              <w:spacing w:line="240" w:lineRule="auto" w:before="40" w:after="40"/>
              <w:jc w:val="left"/>
            </w:pPr>
            <w:r>
              <w:rPr>
                <w:rFonts w:ascii="Calibri" w:hAnsi="Calibri" w:eastAsia="Calibri"/>
                <w:sz w:val="17"/>
              </w:rPr>
              <w:t>McAdoo (2023)</w:t>
            </w:r>
          </w:p>
        </w:tc>
        <w:tc>
          <w:tcPr>
            <w:tcW w:type="dxa" w:w="1440"/>
            <w:shd w:val="clear" w:color="auto" w:fill="EEEEEE"/>
          </w:tcPr>
          <w:p>
            <w:pPr>
              <w:keepNext w:val="0"/>
              <w:spacing w:line="240" w:lineRule="auto" w:before="40" w:after="40"/>
              <w:jc w:val="left"/>
            </w:pPr>
            <w:r>
              <w:rPr>
                <w:rFonts w:ascii="Calibri" w:hAnsi="Calibri" w:eastAsia="Calibri"/>
                <w:sz w:val="17"/>
              </w:rPr>
              <w:t>Técnica / IA</w:t>
            </w:r>
          </w:p>
        </w:tc>
        <w:tc>
          <w:tcPr>
            <w:tcW w:type="dxa" w:w="2880"/>
            <w:shd w:val="clear" w:color="auto" w:fill="EEEEEE"/>
          </w:tcPr>
          <w:p>
            <w:pPr>
              <w:keepNext w:val="0"/>
              <w:spacing w:line="240" w:lineRule="auto" w:before="40" w:after="40"/>
              <w:jc w:val="left"/>
            </w:pPr>
            <w:r>
              <w:rPr>
                <w:rFonts w:ascii="Calibri" w:hAnsi="Calibri" w:eastAsia="Calibri"/>
                <w:sz w:val="17"/>
              </w:rPr>
              <w:t>Modelo de cita de herramientas de IA generativa.</w:t>
            </w:r>
          </w:p>
        </w:tc>
        <w:tc>
          <w:tcPr>
            <w:tcW w:type="dxa" w:w="2592"/>
            <w:shd w:val="clear" w:color="auto" w:fill="EEEEEE"/>
          </w:tcPr>
          <w:p>
            <w:pPr>
              <w:keepNext w:val="0"/>
              <w:spacing w:line="240" w:lineRule="auto" w:before="40" w:after="40"/>
              <w:jc w:val="left"/>
            </w:pPr>
            <w:r>
              <w:rPr>
                <w:rFonts w:ascii="Calibri" w:hAnsi="Calibri" w:eastAsia="Calibri"/>
                <w:sz w:val="17"/>
              </w:rPr>
              <w:t>Contenido puede haber sido actualizado: revisar la guía vigente de APA</w:t>
            </w:r>
          </w:p>
        </w:tc>
      </w:tr>
    </w:tbl>
    <w:p>
      <w:pPr>
        <w:keepNext/>
        <w:spacing w:line="276" w:lineRule="auto" w:before="120" w:after="60"/>
        <w:jc w:val="left"/>
      </w:pPr>
      <w:r>
        <w:rPr>
          <w:rFonts w:ascii="Calibri" w:hAnsi="Calibri" w:eastAsia="Calibri"/>
          <w:b/>
          <w:color w:val="666666"/>
          <w:sz w:val="20"/>
        </w:rPr>
        <w:t>Fuente: elaboración propia.</w:t>
      </w:r>
    </w:p>
    <w:p>
      <w:pPr>
        <w:keepNext/>
        <w:spacing w:line="276" w:lineRule="auto" w:before="280" w:after="160"/>
        <w:ind w:left="173"/>
        <w:jc w:val="left"/>
        <w:pBdr>
          <w:left w:val="single" w:sz="36" w:space="8" w:color="FFB800"/>
        </w:pBdr>
      </w:pPr>
      <w:r>
        <w:rPr>
          <w:rFonts w:ascii="Calibri" w:hAnsi="Calibri"/>
          <w:b/>
          <w:color w:val="1A1A1A"/>
          <w:sz w:val="30"/>
        </w:rPr>
        <w:t>4. Criterios de citación de IA aplicados</w:t>
      </w:r>
    </w:p>
    <w:p>
      <w:pPr>
        <w:pStyle w:val="ListBullet"/>
        <w:keepNext w:val="0"/>
        <w:spacing w:line="360" w:lineRule="auto" w:before="0" w:after="40"/>
        <w:jc w:val="both"/>
      </w:pPr>
      <w:r>
        <w:rPr>
          <w:rFonts w:ascii="Calibri" w:hAnsi="Calibri" w:eastAsia="Calibri"/>
          <w:sz w:val="22"/>
        </w:rPr>
        <w:t xml:space="preserve">La herramienta de IA se cita como software/modelo: Desarrollador. (año). </w:t>
      </w:r>
      <w:r>
        <w:rPr>
          <w:rFonts w:ascii="Calibri" w:hAnsi="Calibri" w:eastAsia="Calibri"/>
          <w:i/>
          <w:sz w:val="22"/>
        </w:rPr>
        <w:t>Nombre del modelo</w:t>
      </w:r>
      <w:r>
        <w:rPr>
          <w:rFonts w:ascii="Calibri" w:hAnsi="Calibri" w:eastAsia="Calibri"/>
          <w:sz w:val="22"/>
        </w:rPr>
        <w:t xml:space="preserve"> (versión) [Modelo de lenguaje de gran tamaño]. URL.</w:t>
      </w:r>
    </w:p>
    <w:p>
      <w:pPr>
        <w:pStyle w:val="ListBullet"/>
        <w:keepNext w:val="0"/>
        <w:spacing w:line="360" w:lineRule="auto" w:before="0" w:after="40"/>
        <w:jc w:val="both"/>
      </w:pPr>
      <w:r>
        <w:rPr>
          <w:rFonts w:ascii="Calibri" w:hAnsi="Calibri" w:eastAsia="Calibri"/>
          <w:sz w:val="22"/>
        </w:rPr>
        <w:t>En el texto: (Anthropic, 2026).</w:t>
      </w:r>
    </w:p>
    <w:p>
      <w:pPr>
        <w:pStyle w:val="ListBullet"/>
        <w:keepNext w:val="0"/>
        <w:spacing w:line="360" w:lineRule="auto" w:before="0" w:after="40"/>
        <w:jc w:val="both"/>
      </w:pPr>
      <w:r>
        <w:rPr>
          <w:rFonts w:ascii="Calibri" w:hAnsi="Calibri" w:eastAsia="Calibri"/>
          <w:sz w:val="22"/>
        </w:rPr>
        <w:t>Las salidas de IA no se tratan como fuente de evidencia primaria; se declaran como asistencia en la Declaración de uso de IA.</w:t>
      </w:r>
    </w:p>
    <w:p>
      <w:pPr>
        <w:pStyle w:val="ListBullet"/>
        <w:keepNext w:val="0"/>
        <w:spacing w:line="360" w:lineRule="auto" w:before="0" w:after="40"/>
        <w:jc w:val="both"/>
      </w:pPr>
      <w:r>
        <w:rPr>
          <w:rFonts w:ascii="Calibri" w:hAnsi="Calibri" w:eastAsia="Calibri"/>
          <w:sz w:val="22"/>
        </w:rPr>
        <w:t>Los prompts y documentos del autor se citan como material inédito analizado.</w:t>
      </w:r>
    </w:p>
    <w:p>
      <w:pPr>
        <w:keepNext w:val="0"/>
        <w:spacing w:line="360" w:lineRule="auto" w:before="0" w:after="0"/>
        <w:jc w:val="both"/>
      </w:pPr>
    </w:p>
    <w:p>
      <w:pPr>
        <w:keepNext/>
        <w:spacing w:line="276" w:lineRule="auto" w:before="280" w:after="160"/>
        <w:ind w:left="173"/>
        <w:jc w:val="left"/>
        <w:pBdr>
          <w:left w:val="single" w:sz="36" w:space="8" w:color="FFB800"/>
        </w:pBdr>
      </w:pPr>
      <w:r>
        <w:rPr>
          <w:rFonts w:ascii="Calibri" w:hAnsi="Calibri"/>
          <w:b/>
          <w:color w:val="1A1A1A"/>
          <w:sz w:val="30"/>
        </w:rPr>
        <w:t>Anexo A. Declaración de uso de IA</w:t>
      </w:r>
    </w:p>
    <w:tbl>
      <w:tblPr>
        <w:tblW w:type="auto" w:w="0"/>
        <w:jc w:val="center"/>
        <w:tblLook w:firstColumn="1" w:firstRow="1" w:lastColumn="0" w:lastRow="0" w:noHBand="0" w:noVBand="1" w:val="04A0"/>
      </w:tblPr>
      <w:tblGrid>
        <w:gridCol w:w="9360"/>
      </w:tblGrid>
      <w:tr>
        <w:tc>
          <w:tcPr>
            <w:tcW w:type="dxa" w:w="9360"/>
            <w:shd w:val="clear" w:color="auto" w:fill="EEEEEE"/>
            <w:tcBorders>
              <w:top w:val="nil"/>
              <w:left w:val="single" w:sz="32" w:color="FFB800"/>
              <w:bottom w:val="nil"/>
              <w:right w:val="nil"/>
            </w:tcBorders>
          </w:tcPr>
          <w:p>
            <w:pPr>
              <w:keepNext w:val="0"/>
              <w:spacing w:line="276" w:lineRule="auto" w:before="60" w:after="60"/>
              <w:jc w:val="left"/>
            </w:pPr>
            <w:r>
              <w:rPr>
                <w:rFonts w:ascii="Calibri" w:hAnsi="Calibri"/>
                <w:b/>
                <w:sz w:val="21"/>
              </w:rPr>
              <w:t xml:space="preserve">Declaración de uso de IA. </w:t>
            </w:r>
            <w:r>
              <w:rPr>
                <w:rFonts w:ascii="Calibri" w:hAnsi="Calibri" w:eastAsia="Calibri"/>
                <w:sz w:val="21"/>
              </w:rPr>
              <w:t>Este documento se elaboró con asistencia de Claude Sonnet 5.5 (Anthropic), mediante Claude Code, el 19 de octubre de 2026, para analizar, redactar y sistematizar. La verificación humana de contenido y fuentes está pendiente de realización por el autor, quien asume la responsabilidad final. Detalle completo en el archivo 05_Declaracion_Uso_IA.</w:t>
            </w:r>
          </w:p>
        </w:tc>
      </w:tr>
    </w:tbl>
    <w:p>
      <w:pPr>
        <w:keepNext w:val="0"/>
        <w:spacing w:line="360" w:lineRule="auto" w:before="0" w:after="0"/>
        <w:jc w:val="both"/>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Bibliografía normalizada  |  </w:t>
    </w:r>
    <w:r>
      <w:rPr>
        <w:rFonts w:ascii="Calibri" w:hAnsi="Calibri"/>
        <w:color w:val="666666"/>
        <w:sz w:val="20"/>
      </w:rPr>
      <w:fldChar w:fldCharType="begin"/>
    </w:r>
    <w:r>
      <w:rPr>
        <w:rFonts w:ascii="Calibri" w:hAnsi="Calibri"/>
        <w:color w:val="666666"/>
        <w:sz w:val="20"/>
      </w:rPr>
      <w:instrText xml:space="preserve">PAGE</w:instrText>
    </w:r>
    <w:r>
      <w:rPr>
        <w:rFonts w:ascii="Calibri" w:hAnsi="Calibri"/>
        <w:color w:val="666666"/>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Bibliografía Normalizada Y Documentada</dc:title>
  <dc:subject/>
  <dc:creator>Juan Antonio Carrasco Navarrete</dc:creator>
  <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