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trHeight w:val="1814" w:hRule="exact"/>
        </w:trPr>
        <w:tc>
          <w:tcPr>
            <w:tcW w:type="dxa" w:w="9354"/>
          </w:tcPr>
          <w:p>
            <w:pPr>
              <w:spacing w:after="0"/>
            </w:pPr>
          </w:p>
          <w:tbl>
            <w:tblPr>
              <w:tblW w:type="dxa" w:w="2948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948"/>
            </w:tblGrid>
            <w:tr>
              <w:tc>
                <w:tcPr>
                  <w:tcW w:type="dxa" w:w="2948"/>
                  <w:tcBorders>
                    <w:top w:val="single" w:sz="6" w:color="999999"/>
                    <w:left w:val="single" w:sz="6" w:color="999999"/>
                    <w:bottom w:val="single" w:sz="6" w:color="999999"/>
                    <w:right w:val="single" w:sz="6" w:color="999999"/>
                  </w:tcBorders>
                  <w:tcMar>
                    <w:top w:w="160" w:type="dxa"/>
                    <w:left w:w="120" w:type="dxa"/>
                    <w:bottom w:w="160" w:type="dxa"/>
                    <w:right w:w="120" w:type="dxa"/>
                  </w:tcMar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rFonts w:ascii="Calibri" w:hAnsi="Calibri" w:eastAsia="Calibri"/>
                      <w:color w:val="666666"/>
                      <w:sz w:val="18"/>
                    </w:rPr>
                    <w:t>[Insertar logo Duoc UC]</w:t>
                  </w:r>
                </w:p>
              </w:tc>
            </w:tr>
          </w:tbl>
          <w:p/>
        </w:tc>
      </w:tr>
      <w:tr>
        <w:trPr>
          <w:trHeight w:val="6010" w:hRule="exact"/>
        </w:trPr>
        <w:tc>
          <w:tcPr>
            <w:tcW w:type="dxa" w:w="9354"/>
            <w:vAlign w:val="center"/>
          </w:tcPr>
          <w:p>
            <w:pPr>
              <w:pBdr>
                <w:bottom w:val="single" w:sz="24" w:space="10" w:color="FFB800"/>
              </w:pBdr>
              <w:spacing w:after="200" w:line="276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28"/>
              </w:rPr>
              <w:t>PROYECTO LA PUERTA: INFORME DESCRIPTIVO</w:t>
            </w:r>
          </w:p>
          <w:p>
            <w:pPr>
              <w:spacing w:before="200" w:line="276" w:lineRule="auto"/>
              <w:jc w:val="center"/>
            </w:pPr>
            <w:r>
              <w:rPr>
                <w:rFonts w:ascii="Calibri" w:hAnsi="Calibri" w:eastAsia="Calibri"/>
                <w:color w:val="666666"/>
                <w:sz w:val="24"/>
              </w:rPr>
              <w:t>Cómo perciben su preparación para el mundo laboral los estudiantes de la Escuela de Administración y Negocios</w:t>
            </w:r>
          </w:p>
        </w:tc>
      </w:tr>
      <w:tr>
        <w:trPr>
          <w:trHeight w:val="4876" w:hRule="exact"/>
        </w:trPr>
        <w:tc>
          <w:tcPr>
            <w:tcW w:type="dxa" w:w="9354"/>
            <w:vAlign w:val="bottom"/>
          </w:tcPr>
          <w:p>
            <w:pPr>
              <w:spacing w:after="80" w:line="276" w:lineRule="auto"/>
              <w:jc w:val="center"/>
            </w:pPr>
            <w:r>
              <w:rPr>
                <w:rFonts w:ascii="Calibri" w:hAnsi="Calibri" w:eastAsia="Calibri"/>
                <w:color w:val="1A1A1A"/>
                <w:sz w:val="28"/>
              </w:rPr>
              <w:t>Autor y docente responsable: Juan Antonio Carrasco Navarrete</w:t>
            </w:r>
          </w:p>
          <w:p>
            <w:pPr>
              <w:spacing w:after="80" w:line="276" w:lineRule="auto"/>
              <w:jc w:val="center"/>
            </w:pPr>
            <w:r>
              <w:rPr>
                <w:rFonts w:ascii="Calibri" w:hAnsi="Calibri" w:eastAsia="Calibri"/>
                <w:color w:val="1A1A1A"/>
                <w:sz w:val="28"/>
              </w:rPr>
              <w:t>Escuela de Administración y Negocios · Sede San Bernardo</w:t>
            </w:r>
          </w:p>
          <w:p>
            <w:pPr>
              <w:spacing w:after="80" w:line="276" w:lineRule="auto"/>
              <w:jc w:val="center"/>
            </w:pPr>
            <w:r>
              <w:rPr>
                <w:rFonts w:ascii="Calibri" w:hAnsi="Calibri" w:eastAsia="Calibri"/>
                <w:color w:val="1A1A1A"/>
                <w:sz w:val="28"/>
              </w:rPr>
              <w:t>Proyecto La Puerta · Producto A</w:t>
            </w:r>
          </w:p>
          <w:p>
            <w:pPr>
              <w:spacing w:after="80" w:line="276" w:lineRule="auto"/>
              <w:jc w:val="center"/>
            </w:pPr>
            <w:r>
              <w:rPr>
                <w:rFonts w:ascii="Calibri" w:hAnsi="Calibri" w:eastAsia="Calibri"/>
                <w:color w:val="1A1A1A"/>
                <w:sz w:val="28"/>
              </w:rPr>
              <w:t>Octubre de 2026</w:t>
            </w:r>
          </w:p>
          <w:p>
            <w:pPr>
              <w:spacing w:before="160"/>
              <w:jc w:val="center"/>
            </w:pPr>
            <w:r>
              <w:rPr>
                <w:rFonts w:ascii="Calibri" w:hAnsi="Calibri" w:eastAsia="Calibri"/>
                <w:color w:val="666666"/>
                <w:sz w:val="18"/>
              </w:rPr>
              <w:t>Elaborado con apoyo de herramientas de Inteligencia Artificial (véase Anexos)</w:t>
            </w:r>
          </w:p>
        </w:tc>
      </w:tr>
    </w:tbl>
    <w:p>
      <w:pPr>
        <w:pStyle w:val="Heading1"/>
        <w:pageBreakBefore/>
        <w:pBdr>
          <w:left w:val="single" w:sz="36" w:space="8" w:color="FFB800"/>
        </w:pBdr>
      </w:pPr>
      <w:r>
        <w:t>Índice</w:t>
      </w:r>
    </w:p>
    <w:p>
      <w:pPr>
        <w:tabs>
          <w:tab w:pos="9354" w:val="right" w:leader="dot"/>
        </w:tabs>
        <w:spacing w:line="360" w:lineRule="auto" w:after="40"/>
        <w:ind w:left="0"/>
        <w:jc w:val="left"/>
      </w:pPr>
      <w:r>
        <w:rPr>
          <w:rFonts w:ascii="Calibri" w:hAnsi="Calibri" w:eastAsia="Calibri"/>
          <w:b/>
          <w:color w:val="1A1A1A"/>
          <w:sz w:val="22"/>
        </w:rPr>
        <w:t>1. INTRODUCCIÓN</w:t>
      </w:r>
      <w:r>
        <w:rPr>
          <w:rFonts w:ascii="Calibri" w:hAnsi="Calibri" w:eastAsia="Calibri"/>
          <w:b/>
          <w:color w:val="1A1A1A"/>
          <w:sz w:val="22"/>
        </w:rPr>
        <w:tab/>
        <w:t>3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1.1 Tema, contexto y objetivos</w:t>
      </w:r>
      <w:r>
        <w:rPr>
          <w:rFonts w:ascii="Calibri" w:hAnsi="Calibri" w:eastAsia="Calibri"/>
          <w:color w:val="1A1A1A"/>
          <w:sz w:val="22"/>
        </w:rPr>
        <w:tab/>
        <w:t>3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1.2 Resumen ejecutivo</w:t>
      </w:r>
      <w:r>
        <w:rPr>
          <w:rFonts w:ascii="Calibri" w:hAnsi="Calibri" w:eastAsia="Calibri"/>
          <w:color w:val="1A1A1A"/>
          <w:sz w:val="22"/>
        </w:rPr>
        <w:tab/>
        <w:t>4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1.3 Contexto y objetivos del estudio</w:t>
      </w:r>
      <w:r>
        <w:rPr>
          <w:rFonts w:ascii="Calibri" w:hAnsi="Calibri" w:eastAsia="Calibri"/>
          <w:color w:val="1A1A1A"/>
          <w:sz w:val="22"/>
        </w:rPr>
        <w:tab/>
        <w:t>5</w:t>
      </w:r>
    </w:p>
    <w:p>
      <w:pPr>
        <w:tabs>
          <w:tab w:pos="9354" w:val="right" w:leader="dot"/>
        </w:tabs>
        <w:spacing w:line="360" w:lineRule="auto" w:after="40"/>
        <w:ind w:left="0"/>
        <w:jc w:val="left"/>
      </w:pPr>
      <w:r>
        <w:rPr>
          <w:rFonts w:ascii="Calibri" w:hAnsi="Calibri" w:eastAsia="Calibri"/>
          <w:b/>
          <w:color w:val="1A1A1A"/>
          <w:sz w:val="22"/>
        </w:rPr>
        <w:t>2. DESARROLLO</w:t>
      </w:r>
      <w:r>
        <w:rPr>
          <w:rFonts w:ascii="Calibri" w:hAnsi="Calibri" w:eastAsia="Calibri"/>
          <w:b/>
          <w:color w:val="1A1A1A"/>
          <w:sz w:val="22"/>
        </w:rPr>
        <w:tab/>
        <w:t>7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2.1 Metodología explicada en simple</w:t>
      </w:r>
      <w:r>
        <w:rPr>
          <w:rFonts w:ascii="Calibri" w:hAnsi="Calibri" w:eastAsia="Calibri"/>
          <w:color w:val="1A1A1A"/>
          <w:sz w:val="22"/>
        </w:rPr>
        <w:tab/>
        <w:t>7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2.2 Quiénes respondieron</w:t>
      </w:r>
      <w:r>
        <w:rPr>
          <w:rFonts w:ascii="Calibri" w:hAnsi="Calibri" w:eastAsia="Calibri"/>
          <w:color w:val="1A1A1A"/>
          <w:sz w:val="22"/>
        </w:rPr>
        <w:tab/>
        <w:t>8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2.3 Resultados en detalle</w:t>
      </w:r>
      <w:r>
        <w:rPr>
          <w:rFonts w:ascii="Calibri" w:hAnsi="Calibri" w:eastAsia="Calibri"/>
          <w:color w:val="1A1A1A"/>
          <w:sz w:val="22"/>
        </w:rPr>
        <w:tab/>
        <w:t>9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2.4 Lo que dicen los estudiantes con sus propias palabras</w:t>
      </w:r>
      <w:r>
        <w:rPr>
          <w:rFonts w:ascii="Calibri" w:hAnsi="Calibri" w:eastAsia="Calibri"/>
          <w:color w:val="1A1A1A"/>
          <w:sz w:val="22"/>
        </w:rPr>
        <w:tab/>
        <w:t>17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2.5 Principales hallazgos</w:t>
      </w:r>
      <w:r>
        <w:rPr>
          <w:rFonts w:ascii="Calibri" w:hAnsi="Calibri" w:eastAsia="Calibri"/>
          <w:color w:val="1A1A1A"/>
          <w:sz w:val="22"/>
        </w:rPr>
        <w:tab/>
        <w:t>20</w:t>
      </w:r>
    </w:p>
    <w:p>
      <w:pPr>
        <w:tabs>
          <w:tab w:pos="9354" w:val="right" w:leader="dot"/>
        </w:tabs>
        <w:spacing w:line="360" w:lineRule="auto" w:after="40"/>
        <w:ind w:left="0"/>
        <w:jc w:val="left"/>
      </w:pPr>
      <w:r>
        <w:rPr>
          <w:rFonts w:ascii="Calibri" w:hAnsi="Calibri" w:eastAsia="Calibri"/>
          <w:b/>
          <w:color w:val="1A1A1A"/>
          <w:sz w:val="22"/>
        </w:rPr>
        <w:t>3. CONCLUSIÓN</w:t>
      </w:r>
      <w:r>
        <w:rPr>
          <w:rFonts w:ascii="Calibri" w:hAnsi="Calibri" w:eastAsia="Calibri"/>
          <w:b/>
          <w:color w:val="1A1A1A"/>
          <w:sz w:val="22"/>
        </w:rPr>
        <w:tab/>
        <w:t>22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3.1 Conclusiones</w:t>
      </w:r>
      <w:r>
        <w:rPr>
          <w:rFonts w:ascii="Calibri" w:hAnsi="Calibri" w:eastAsia="Calibri"/>
          <w:color w:val="1A1A1A"/>
          <w:sz w:val="22"/>
        </w:rPr>
        <w:tab/>
        <w:t>22</w:t>
      </w:r>
    </w:p>
    <w:p>
      <w:pPr>
        <w:tabs>
          <w:tab w:pos="9354" w:val="right" w:leader="dot"/>
        </w:tabs>
        <w:spacing w:line="360" w:lineRule="auto" w:after="40"/>
        <w:ind w:left="454"/>
        <w:jc w:val="left"/>
      </w:pPr>
      <w:r>
        <w:rPr>
          <w:rFonts w:ascii="Calibri" w:hAnsi="Calibri" w:eastAsia="Calibri"/>
          <w:color w:val="1A1A1A"/>
          <w:sz w:val="22"/>
        </w:rPr>
        <w:t>3.2 Recomendaciones de mejora</w:t>
      </w:r>
      <w:r>
        <w:rPr>
          <w:rFonts w:ascii="Calibri" w:hAnsi="Calibri" w:eastAsia="Calibri"/>
          <w:color w:val="1A1A1A"/>
          <w:sz w:val="22"/>
        </w:rPr>
        <w:tab/>
        <w:t>23</w:t>
      </w:r>
    </w:p>
    <w:p>
      <w:pPr>
        <w:tabs>
          <w:tab w:pos="9354" w:val="right" w:leader="dot"/>
        </w:tabs>
        <w:spacing w:line="360" w:lineRule="auto" w:after="40"/>
        <w:ind w:left="0"/>
        <w:jc w:val="left"/>
      </w:pPr>
      <w:r>
        <w:rPr>
          <w:rFonts w:ascii="Calibri" w:hAnsi="Calibri" w:eastAsia="Calibri"/>
          <w:b/>
          <w:color w:val="1A1A1A"/>
          <w:sz w:val="22"/>
        </w:rPr>
        <w:t>4. REFERENCIAS</w:t>
      </w:r>
      <w:r>
        <w:rPr>
          <w:rFonts w:ascii="Calibri" w:hAnsi="Calibri" w:eastAsia="Calibri"/>
          <w:b/>
          <w:color w:val="1A1A1A"/>
          <w:sz w:val="22"/>
        </w:rPr>
        <w:tab/>
        <w:t>24</w:t>
      </w:r>
    </w:p>
    <w:p>
      <w:pPr>
        <w:tabs>
          <w:tab w:pos="9354" w:val="right" w:leader="dot"/>
        </w:tabs>
        <w:spacing w:line="360" w:lineRule="auto" w:after="40"/>
        <w:ind w:left="0"/>
        <w:jc w:val="left"/>
      </w:pPr>
      <w:r>
        <w:rPr>
          <w:rFonts w:ascii="Calibri" w:hAnsi="Calibri" w:eastAsia="Calibri"/>
          <w:b/>
          <w:color w:val="1A1A1A"/>
          <w:sz w:val="22"/>
        </w:rPr>
        <w:t>5. ANEXOS</w:t>
      </w:r>
      <w:r>
        <w:rPr>
          <w:rFonts w:ascii="Calibri" w:hAnsi="Calibri" w:eastAsia="Calibri"/>
          <w:b/>
          <w:color w:val="1A1A1A"/>
          <w:sz w:val="22"/>
        </w:rPr>
        <w:tab/>
        <w:t>25</w:t>
      </w:r>
    </w:p>
    <w:p>
      <w:pPr>
        <w:pStyle w:val="Heading1"/>
        <w:pageBreakBefore/>
        <w:pBdr>
          <w:left w:val="single" w:sz="36" w:space="8" w:color="FFB800"/>
        </w:pBdr>
      </w:pPr>
      <w:r>
        <w:t>1. INTRODUCCIÓN</w:t>
      </w:r>
    </w:p>
    <w:p>
      <w:pPr>
        <w:pStyle w:val="Heading2"/>
        <w:pBdr>
          <w:left w:val="single" w:sz="28" w:space="8" w:color="FFB800"/>
        </w:pBdr>
      </w:pPr>
      <w:r>
        <w:t>1.1 Tema, contexto y objetivos</w:t>
      </w:r>
    </w:p>
    <w:p>
      <w:pPr>
        <w:pStyle w:val="Heading3"/>
      </w:pPr>
      <w:r>
        <w:t>Tema</w:t>
      </w:r>
    </w:p>
    <w:p>
      <w:r>
        <w:rPr>
          <w:rFonts w:ascii="Calibri" w:hAnsi="Calibri" w:eastAsia="Calibri"/>
        </w:rPr>
        <w:t>La percepción de preparación para el mundo laboral de estudiantes de la Escuela de Administración y Negocios (Duoc UC, Sede San Bernardo), medida con una encuesta de percepción y competencias de 15 afirmaciones y dos preguntas abiertas.</w:t>
      </w:r>
    </w:p>
    <w:p>
      <w:pPr>
        <w:pStyle w:val="Heading3"/>
      </w:pPr>
      <w:r>
        <w:t>Contexto</w:t>
      </w:r>
    </w:p>
    <w:p>
      <w:r>
        <w:rPr>
          <w:rFonts w:ascii="Calibri" w:hAnsi="Calibri" w:eastAsia="Calibri"/>
        </w:rPr>
        <w:t>El Proyecto La Puerta busca acercar a estudiantes y empresas antes de la práctica profesional. Entre el 13 y el 16 de octubre de 2026 se aplicó una encuesta confidencial a 184 estudiantes; este informe presenta sus resultados sin contrastar hipótesis.</w:t>
      </w:r>
    </w:p>
    <w:p>
      <w:pPr>
        <w:pStyle w:val="Heading3"/>
      </w:pPr>
      <w:r>
        <w:t>Objetivos</w:t>
      </w:r>
    </w:p>
    <w:p>
      <w:r>
        <w:rPr>
          <w:rFonts w:ascii="Calibri" w:hAnsi="Calibri" w:eastAsia="Calibri"/>
          <w:b/>
        </w:rPr>
        <w:t>Objetivo general.</w:t>
      </w:r>
      <w:r>
        <w:rPr>
          <w:rFonts w:ascii="Calibri" w:hAnsi="Calibri" w:eastAsia="Calibri"/>
        </w:rPr>
        <w:t xml:space="preserve"> Describir cómo perciben los estudiantes su preparación para el mundo laboral e identificar fortalezas, oportunidades de mejora y percepciones predominantes.</w:t>
      </w:r>
    </w:p>
    <w:p>
      <w:pPr>
        <w:spacing w:after="40"/>
      </w:pPr>
      <w:r>
        <w:rPr>
          <w:rFonts w:ascii="Calibri" w:hAnsi="Calibri" w:eastAsia="Calibri"/>
          <w:b/>
        </w:rPr>
        <w:t>Objetivos específicos: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Describir los resultados por afirmación y por dimensión.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Caracterizar diferencias relevantes entre perfiles (año de estudio y práctica previa).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Recoger, con sus propias palabras, qué aprendieron y qué apoyo necesitan.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Formular recomendaciones de mejora alcanzables.</w:t>
      </w:r>
    </w:p>
    <w:p>
      <w:pPr>
        <w:pStyle w:val="Heading3"/>
      </w:pPr>
      <w:r>
        <w:t>Organización del texto</w:t>
      </w:r>
    </w:p>
    <w:p>
      <w:r>
        <w:rPr>
          <w:rFonts w:ascii="Calibri" w:hAnsi="Calibri" w:eastAsia="Calibri"/>
        </w:rPr>
        <w:t>El documento se organiza en cinco partes: la Introducción (incluye el resumen ejecutivo y el contexto); el Desarrollo (metodología, participantes, resultados, voz estudiantil y hallazgos); la Conclusión (conclusiones, limitaciones y recomendaciones); las Referencias en formato APA 7; y los Anexos (ficha técnica, robustez y declaración de uso de IA).</w:t>
      </w:r>
    </w:p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tcBorders>
              <w:top w:val="nil"/>
              <w:left w:val="single" w:sz="32" w:color="FFB800"/>
              <w:bottom w:val="nil"/>
              <w:right w:val="nil"/>
            </w:tcBorders>
            <w:shd w:val="clear" w:color="auto" w:fill="EEEEEE"/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1"/>
              </w:rPr>
              <w:t>Uso de Inteligencia Artificial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Este documento se elaboró con apoyo de IA (Claude, Anthropic). En los Anexos se detalla qué hizo la herramienta y qué debe revisar una persona, y en las Referencias se indica qué fuentes están verificadas.</w:t>
            </w:r>
          </w:p>
        </w:tc>
      </w:tr>
    </w:tbl>
    <w:p>
      <w:pPr>
        <w:spacing w:after="200" w:line="240" w:lineRule="auto"/>
      </w:pPr>
      <w:r>
        <w:rPr>
          <w:sz w:val="8"/>
        </w:rPr>
        <w:t xml:space="preserve"> </w:t>
      </w:r>
    </w:p>
    <w:p>
      <w:pPr>
        <w:pStyle w:val="Heading2"/>
        <w:pBdr>
          <w:left w:val="single" w:sz="28" w:space="8" w:color="FFB800"/>
        </w:pBdr>
      </w:pPr>
      <w:r>
        <w:t>1.2 Resumen ejecutivo</w:t>
      </w:r>
    </w:p>
    <w:p>
      <w:r>
        <w:rPr>
          <w:rFonts w:ascii="Calibri" w:hAnsi="Calibri" w:eastAsia="Calibri"/>
        </w:rPr>
        <w:t xml:space="preserve">Entre el 13 y el 16 de octubre de 2026, </w:t>
      </w:r>
      <w:r>
        <w:rPr>
          <w:rFonts w:ascii="Calibri" w:hAnsi="Calibri" w:eastAsia="Calibri"/>
          <w:b/>
        </w:rPr>
        <w:t>184 estudiantes</w:t>
      </w:r>
      <w:r>
        <w:rPr>
          <w:rFonts w:ascii="Calibri" w:hAnsi="Calibri" w:eastAsia="Calibri"/>
        </w:rPr>
        <w:t xml:space="preserve"> de Duoc UC Sede San Bernardo respondieron una encuesta confidencial sobre qué tan preparados se sienten para enfrentar el mundo laboral. Este informe cuenta, sin tecnicismos, </w:t>
      </w:r>
      <w:r>
        <w:rPr>
          <w:rFonts w:ascii="Calibri" w:hAnsi="Calibri" w:eastAsia="Calibri"/>
          <w:b/>
        </w:rPr>
        <w:t>qué dijeron</w:t>
      </w:r>
      <w:r>
        <w:rPr>
          <w:rFonts w:ascii="Calibri" w:hAnsi="Calibri" w:eastAsia="Calibri"/>
        </w:rPr>
        <w:t xml:space="preserve">, </w:t>
      </w:r>
      <w:r>
        <w:rPr>
          <w:rFonts w:ascii="Calibri" w:hAnsi="Calibri" w:eastAsia="Calibri"/>
          <w:b/>
        </w:rPr>
        <w:t>dónde están sus fortalezas</w:t>
      </w:r>
      <w:r>
        <w:rPr>
          <w:rFonts w:ascii="Calibri" w:hAnsi="Calibri" w:eastAsia="Calibri"/>
        </w:rPr>
        <w:t xml:space="preserve"> y </w:t>
      </w:r>
      <w:r>
        <w:rPr>
          <w:rFonts w:ascii="Calibri" w:hAnsi="Calibri" w:eastAsia="Calibri"/>
          <w:b/>
        </w:rPr>
        <w:t>dónde conviene poner más apoyo</w:t>
      </w:r>
      <w:r>
        <w:rPr>
          <w:rFonts w:ascii="Calibri" w:hAnsi="Calibri" w:eastAsia="Calibri"/>
        </w:rPr>
        <w:t>.</w:t>
      </w:r>
    </w:p>
    <w:tbl>
      <w:tblPr>
        <w:tblW w:type="dxa" w:w="9355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9"/>
            <w:tcBorders>
              <w:top w:val="single" w:sz="24" w:color="FFB800"/>
              <w:left w:val="nil"/>
              <w:bottom w:val="nil"/>
              <w:right w:val="nil"/>
            </w:tcBorders>
            <w:shd w:val="clear" w:color="auto" w:fill="EEEEEE"/>
            <w:tcMar>
              <w:top w:w="140" w:type="dxa"/>
              <w:left w:w="120" w:type="dxa"/>
              <w:bottom w:w="140" w:type="dxa"/>
              <w:right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44"/>
              </w:rPr>
              <w:t>3,87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color w:val="666666"/>
                <w:sz w:val="18"/>
              </w:rPr>
              <w:t>puntaje global</w:t>
              <w:br/>
              <w:t>(escala 1 a 5)</w:t>
            </w:r>
          </w:p>
        </w:tc>
        <w:tc>
          <w:tcPr>
            <w:tcW w:type="dxa" w:w="2339"/>
            <w:tcBorders>
              <w:top w:val="single" w:sz="24" w:color="FFB800"/>
              <w:left w:val="nil"/>
              <w:bottom w:val="nil"/>
              <w:right w:val="nil"/>
            </w:tcBorders>
            <w:shd w:val="clear" w:color="auto" w:fill="EEEEEE"/>
            <w:tcMar>
              <w:top w:w="140" w:type="dxa"/>
              <w:left w:w="120" w:type="dxa"/>
              <w:bottom w:w="140" w:type="dxa"/>
              <w:right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44"/>
              </w:rPr>
              <w:t>70 %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color w:val="666666"/>
                <w:sz w:val="18"/>
              </w:rPr>
              <w:t>de las respuestas</w:t>
              <w:br/>
              <w:t>son «de acuerdo»</w:t>
            </w:r>
          </w:p>
        </w:tc>
        <w:tc>
          <w:tcPr>
            <w:tcW w:type="dxa" w:w="2339"/>
            <w:tcBorders>
              <w:top w:val="single" w:sz="24" w:color="FFB800"/>
              <w:left w:val="nil"/>
              <w:bottom w:val="nil"/>
              <w:right w:val="nil"/>
            </w:tcBorders>
            <w:shd w:val="clear" w:color="auto" w:fill="EEEEEE"/>
            <w:tcMar>
              <w:top w:w="140" w:type="dxa"/>
              <w:left w:w="120" w:type="dxa"/>
              <w:bottom w:w="140" w:type="dxa"/>
              <w:right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44"/>
              </w:rPr>
              <w:t>41 %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color w:val="666666"/>
                <w:sz w:val="18"/>
              </w:rPr>
              <w:t>dice tener una red</w:t>
              <w:br/>
              <w:t>de contactos (P12)</w:t>
            </w:r>
          </w:p>
        </w:tc>
        <w:tc>
          <w:tcPr>
            <w:tcW w:type="dxa" w:w="2339"/>
            <w:tcBorders>
              <w:top w:val="single" w:sz="24" w:color="FFB800"/>
              <w:left w:val="nil"/>
              <w:bottom w:val="nil"/>
              <w:right w:val="nil"/>
            </w:tcBorders>
            <w:shd w:val="clear" w:color="auto" w:fill="EEEEEE"/>
            <w:tcMar>
              <w:top w:w="140" w:type="dxa"/>
              <w:left w:w="120" w:type="dxa"/>
              <w:bottom w:w="140" w:type="dxa"/>
              <w:right w:w="12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44"/>
              </w:rPr>
              <w:t>83 %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color w:val="666666"/>
                <w:sz w:val="18"/>
              </w:rPr>
              <w:t>quiere proyectos</w:t>
              <w:br/>
              <w:t>con empresas reales</w:t>
            </w:r>
          </w:p>
        </w:tc>
      </w:tr>
    </w:tbl>
    <w:p>
      <w:pPr>
        <w:spacing w:after="200" w:line="240" w:lineRule="auto"/>
      </w:pPr>
      <w:r>
        <w:rPr>
          <w:sz w:val="8"/>
        </w:rPr>
        <w:t xml:space="preserve"> </w:t>
      </w:r>
    </w:p>
    <w:p>
      <w:pPr>
        <w:pStyle w:val="Heading4"/>
      </w:pPr>
      <w:r>
        <w:t>Los cinco mensajes que hay que recordar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1.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Hay una base sólida.</w:t>
      </w:r>
      <w:r>
        <w:rPr>
          <w:rFonts w:ascii="Calibri" w:hAnsi="Calibri" w:eastAsia="Calibri"/>
        </w:rPr>
        <w:t xml:space="preserve"> El puntaje global es 3,87 de 5 y siete de cada diez respuestas son favorables. Las mayores fortalezas son dialogar en equipo (87 %), priorizar la ética bajo presión (85 %), el interés en proyectos reales (83 %) y la confianza ante tareas nuevas (82 %).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2.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La red de contactos es el punto más débil.</w:t>
      </w:r>
      <w:r>
        <w:rPr>
          <w:rFonts w:ascii="Calibri" w:hAnsi="Calibri" w:eastAsia="Calibri"/>
        </w:rPr>
        <w:t xml:space="preserve"> Solo 41 % dice contar con referentes laborales a quienes recurrir, y 30 % dice que no. Es la afirmación más baja de las 15, con bastante distancia de las demás.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3.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Conocer el trabajo «de verdad» está a medio camino.</w:t>
      </w:r>
      <w:r>
        <w:rPr>
          <w:rFonts w:ascii="Calibri" w:hAnsi="Calibri" w:eastAsia="Calibri"/>
        </w:rPr>
        <w:t xml:space="preserve"> Conocer las tareas reales (P01: 68 %), las exigencias de las empresas (P02: 69 %) y haber comprobado si el trabajo calza con los intereses propios (P09: 62 %) quedan bajo la meta de 70 %.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4.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Quieren más práctica, no más teoría.</w:t>
      </w:r>
      <w:r>
        <w:rPr>
          <w:rFonts w:ascii="Calibri" w:hAnsi="Calibri" w:eastAsia="Calibri"/>
        </w:rPr>
        <w:t xml:space="preserve"> En sus comentarios, lo que más piden antes de la práctica profesional son simulaciones y casos reales (31 menciones), comunicación y oratoria, inglés, herramientas como ERP y Excel, y salidas a terreno.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5.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Quienes ya hicieron una práctica puntúan algo más alto, pero la diferencia es pequeña</w:t>
      </w:r>
      <w:r>
        <w:rPr>
          <w:rFonts w:ascii="Calibri" w:hAnsi="Calibri" w:eastAsia="Calibri"/>
        </w:rPr>
        <w:t xml:space="preserve"> (+0,17 puntos). Es una tendencia, no una brecha enorme.</w:t>
      </w:r>
    </w:p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tcBorders>
              <w:top w:val="nil"/>
              <w:left w:val="single" w:sz="32" w:color="FFB800"/>
              <w:bottom w:val="nil"/>
              <w:right w:val="nil"/>
            </w:tcBorders>
            <w:shd w:val="clear" w:color="auto" w:fill="EEEEEE"/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1"/>
              </w:rPr>
              <w:t>Lo que este informe NO puede decir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Con una sola medición no es posible saber si el programa La Puerta cambió algo. Para eso hace falta medir a las mismas personas antes y después (ver R1).</w:t>
            </w:r>
          </w:p>
        </w:tc>
      </w:tr>
    </w:tbl>
    <w:p>
      <w:pPr>
        <w:spacing w:after="200" w:line="240" w:lineRule="auto"/>
      </w:pPr>
      <w:r>
        <w:rPr>
          <w:sz w:val="8"/>
        </w:rPr>
        <w:t xml:space="preserve"> </w:t>
      </w:r>
    </w:p>
    <w:p>
      <w:pPr>
        <w:pStyle w:val="Heading2"/>
        <w:pBdr>
          <w:left w:val="single" w:sz="28" w:space="8" w:color="FFB800"/>
        </w:pBdr>
      </w:pPr>
      <w:r>
        <w:t>1.3 Contexto y objetivos del estudio</w:t>
      </w:r>
    </w:p>
    <w:p>
      <w:r>
        <w:rPr>
          <w:rFonts w:ascii="Calibri" w:hAnsi="Calibri" w:eastAsia="Calibri"/>
        </w:rPr>
        <w:t xml:space="preserve">El Proyecto La Puerta nace de una pregunta práctica: </w:t>
      </w:r>
      <w:r>
        <w:rPr>
          <w:rFonts w:ascii="Calibri" w:hAnsi="Calibri" w:eastAsia="Calibri"/>
          <w:b/>
        </w:rPr>
        <w:t>¿cómo llegan los estudiantes a su práctica profesional?</w:t>
      </w:r>
      <w:r>
        <w:rPr>
          <w:rFonts w:ascii="Calibri" w:hAnsi="Calibri" w:eastAsia="Calibri"/>
        </w:rPr>
        <w:t xml:space="preserve"> La hipótesis de trabajo del proyecto es que haber vivido antes una experiencia laboral ayuda a enfrentar el «shock de transición» al mundo del trabajo y fortalece la confianza en las propias capacidades (autoeficacia). Para explorarlo, el equipo aplicó una encuesta de percepción con 15 afirmaciones agrupadas en cinco dimensiones, más dos preguntas abiertas.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4888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4_mar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88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  <w:jc w:val="center"/>
      </w:pPr>
      <w:r>
        <w:rPr>
          <w:rFonts w:ascii="Calibri" w:hAnsi="Calibri" w:eastAsia="Calibri"/>
          <w:i/>
          <w:color w:val="666666"/>
          <w:sz w:val="18"/>
        </w:rPr>
        <w:t>Figura 1. Mapa del estudio: cinco dimensiones que conversan con la seguridad para adaptarse a un puesto de trabajo.</w:t>
      </w:r>
    </w:p>
    <w:p>
      <w:pPr>
        <w:pStyle w:val="Heading4"/>
      </w:pPr>
      <w:r>
        <w:t>Qué dice la literatura (en pocas palabras)</w:t>
      </w:r>
    </w:p>
    <w:p>
      <w:pPr>
        <w:pStyle w:val="ListBullet"/>
        <w:spacing w:after="60"/>
      </w:pPr>
      <w:r>
        <w:rPr>
          <w:rFonts w:ascii="Calibri" w:hAnsi="Calibri" w:eastAsia="Calibri"/>
        </w:rPr>
        <w:t xml:space="preserve">La </w:t>
      </w:r>
      <w:r>
        <w:rPr>
          <w:rFonts w:ascii="Calibri" w:hAnsi="Calibri" w:eastAsia="Calibri"/>
          <w:b/>
        </w:rPr>
        <w:t>autoeficacia</w:t>
      </w:r>
      <w:r>
        <w:rPr>
          <w:rFonts w:ascii="Calibri" w:hAnsi="Calibri" w:eastAsia="Calibri"/>
        </w:rPr>
        <w:t xml:space="preserve"> —creer que uno puede lograr una tarea— se construye sobre todo con experiencias directas de logro (Bandura, 1997); en el plano vocacional, esas creencias influyen en los intereses y las decisiones de carrera (Lent et al., 1994).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 xml:space="preserve">La </w:t>
      </w:r>
      <w:r>
        <w:rPr>
          <w:rFonts w:ascii="Calibri" w:hAnsi="Calibri" w:eastAsia="Calibri"/>
          <w:b/>
        </w:rPr>
        <w:t>empleabilidad</w:t>
      </w:r>
      <w:r>
        <w:rPr>
          <w:rFonts w:ascii="Calibri" w:hAnsi="Calibri" w:eastAsia="Calibri"/>
        </w:rPr>
        <w:t xml:space="preserve"> no es solo saber técnico: incluye cómo se piensa y se actúa frente al trabajo y el capital social del egresado (Yorke, 2006; Tomlinson, 2017).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 xml:space="preserve">Las </w:t>
      </w:r>
      <w:r>
        <w:rPr>
          <w:rFonts w:ascii="Calibri" w:hAnsi="Calibri" w:eastAsia="Calibri"/>
          <w:b/>
        </w:rPr>
        <w:t>redes</w:t>
      </w:r>
      <w:r>
        <w:rPr>
          <w:rFonts w:ascii="Calibri" w:hAnsi="Calibri" w:eastAsia="Calibri"/>
        </w:rPr>
        <w:t xml:space="preserve"> de contactos, incluso los vínculos «débiles», abren oportunidades de información y empleo (Granovetter, 1973).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Aprender haciendo —ciclos de experiencia, reflexión y aplicación— fortalece lo aprendido en aula (Kolb, 1984), y ver el error como información favorece la persistencia (Dweck, 2006).</w:t>
      </w:r>
    </w:p>
    <w:p>
      <w:pPr>
        <w:pStyle w:val="Heading4"/>
      </w:pPr>
      <w:r>
        <w:t>Objetivos de este informe descriptivo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Describir cómo respondieron los estudiantes en cada afirmación y dimensión.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Identificar fortalezas, oportunidades de mejora y percepciones predominantes.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Mostrar diferencias relevantes entre perfiles (año de estudio, práctica previa).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Recoger, con sus propias palabras, qué aprendieron y qué apoyo necesitan.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Entregar recomendaciones prácticas y alcanzables.</w:t>
      </w:r>
    </w:p>
    <w:p>
      <w:r>
        <w:rPr>
          <w:rFonts w:ascii="Calibri" w:hAnsi="Calibri" w:eastAsia="Calibri"/>
          <w:b/>
          <w:i/>
        </w:rPr>
        <w:t>Importante:</w:t>
      </w:r>
      <w:r>
        <w:rPr>
          <w:rFonts w:ascii="Calibri" w:hAnsi="Calibri" w:eastAsia="Calibri"/>
          <w:i/>
        </w:rPr>
        <w:t xml:space="preserve"> este es el informe «sin hipótesis». Aquí solo se describe lo observado, sin probar teorías. El contraste de hipótesis está en el Informe B, y ambos se integran en el Informe C.</w:t>
      </w:r>
    </w:p>
    <w:p>
      <w:pPr>
        <w:pStyle w:val="Heading1"/>
        <w:pageBreakBefore/>
        <w:pBdr>
          <w:left w:val="single" w:sz="36" w:space="8" w:color="FFB800"/>
        </w:pBdr>
      </w:pPr>
      <w:r>
        <w:t>2. DESARROLLO</w:t>
      </w:r>
    </w:p>
    <w:p>
      <w:pPr>
        <w:pStyle w:val="Heading2"/>
        <w:pBdr>
          <w:left w:val="single" w:sz="28" w:space="8" w:color="FFB800"/>
        </w:pBdr>
      </w:pPr>
      <w:r>
        <w:t>2.1 Metodología explicada en simple</w:t>
      </w:r>
    </w:p>
    <w:p>
      <w:pPr>
        <w:pStyle w:val="Heading3"/>
      </w:pPr>
      <w:r>
        <w:t>Qué se preguntó y cómo se respondió</w:t>
      </w:r>
    </w:p>
    <w:p>
      <w:r>
        <w:rPr>
          <w:rFonts w:ascii="Calibri" w:hAnsi="Calibri" w:eastAsia="Calibri"/>
        </w:rPr>
        <w:t xml:space="preserve">Cada afirmación (por ejemplo, «Aprendo de mis errores») se respondió en una escala de 1 a 5, donde </w:t>
      </w:r>
      <w:r>
        <w:rPr>
          <w:rFonts w:ascii="Calibri" w:hAnsi="Calibri" w:eastAsia="Calibri"/>
          <w:b/>
        </w:rPr>
        <w:t>1 = muy en desacuerdo, 3 = ni de acuerdo ni en desacuerdo y 5 = muy de acuerdo</w:t>
      </w:r>
      <w:r>
        <w:rPr>
          <w:rFonts w:ascii="Calibri" w:hAnsi="Calibri" w:eastAsia="Calibri"/>
        </w:rPr>
        <w:t>. También existía la opción «No sé / No aplica», que se excluyó del cálculo (representa solo el 2,0 % de todas las respuestas posibles).</w:t>
      </w:r>
    </w:p>
    <w:tbl>
      <w:tblPr>
        <w:tblW w:type="dxa" w:w="9355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2592"/>
        <w:gridCol w:w="4621"/>
        <w:gridCol w:w="2141"/>
      </w:tblGrid>
      <w:tr>
        <w:trPr>
          <w:tblHeader w:val="true"/>
        </w:trPr>
        <w:tc>
          <w:tcPr>
            <w:tcW w:type="dxa" w:w="2592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Dimensión</w:t>
            </w:r>
          </w:p>
        </w:tc>
        <w:tc>
          <w:tcPr>
            <w:tcW w:type="dxa" w:w="4621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 qué trata</w:t>
            </w:r>
          </w:p>
        </w:tc>
        <w:tc>
          <w:tcPr>
            <w:tcW w:type="dxa" w:w="2141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Afirmaciones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D1 · Conocer el rol profesional</w:t>
            </w:r>
          </w:p>
        </w:tc>
        <w:tc>
          <w:tcPr>
            <w:tcW w:type="dxa" w:w="462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Saber qué se hace en el trabajo y qué exigen las empresas</w:t>
            </w:r>
          </w:p>
        </w:tc>
        <w:tc>
          <w:tcPr>
            <w:tcW w:type="dxa" w:w="214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P01, P02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D2 · Transferir lo aprendido</w:t>
            </w:r>
          </w:p>
        </w:tc>
        <w:tc>
          <w:tcPr>
            <w:tcW w:type="dxa" w:w="462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Usar lo de clases en problemas reales; explicar con claridad</w:t>
            </w:r>
          </w:p>
        </w:tc>
        <w:tc>
          <w:tcPr>
            <w:tcW w:type="dxa" w:w="214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P03, P04, P05, P06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D3 · Autoeficacia laboral</w:t>
            </w:r>
          </w:p>
        </w:tc>
        <w:tc>
          <w:tcPr>
            <w:tcW w:type="dxa" w:w="462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Confianza para trabajar en equipo, decidir y adaptarse</w:t>
            </w:r>
          </w:p>
        </w:tc>
        <w:tc>
          <w:tcPr>
            <w:tcW w:type="dxa" w:w="214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P07, P08, P09, P10</w:t>
            </w:r>
          </w:p>
        </w:tc>
      </w:tr>
      <w:tr>
        <w:trPr>
          <w:cantSplit/>
        </w:trPr>
        <w:tc>
          <w:tcPr>
            <w:tcW w:type="dxa" w:w="259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D4 · Redes e interés por vincularse</w:t>
            </w:r>
          </w:p>
        </w:tc>
        <w:tc>
          <w:tcPr>
            <w:tcW w:type="dxa" w:w="462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Contactos profesionales e interés en proyectos con empresas</w:t>
            </w:r>
          </w:p>
        </w:tc>
        <w:tc>
          <w:tcPr>
            <w:tcW w:type="dxa" w:w="214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P11, P12, P15</w:t>
            </w:r>
          </w:p>
        </w:tc>
      </w:tr>
      <w:tr>
        <w:trPr>
          <w:cantSplit/>
        </w:trPr>
        <w:tc>
          <w:tcPr>
            <w:tcW w:type="dxa" w:w="259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D5 · Aprender del error y ética</w:t>
            </w:r>
          </w:p>
        </w:tc>
        <w:tc>
          <w:tcPr>
            <w:tcW w:type="dxa" w:w="462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Convertir errores en aprendizaje; mantener la ética</w:t>
            </w:r>
          </w:p>
        </w:tc>
        <w:tc>
          <w:tcPr>
            <w:tcW w:type="dxa" w:w="214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P13, P14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p>
      <w:pPr>
        <w:pStyle w:val="Heading3"/>
      </w:pPr>
      <w:r>
        <w:t>Cómo se calcularon los resultados</w:t>
      </w:r>
    </w:p>
    <w:p>
      <w:pPr>
        <w:pStyle w:val="ListBullet"/>
        <w:spacing w:after="60"/>
      </w:pPr>
      <w:r>
        <w:rPr>
          <w:rFonts w:ascii="Calibri" w:hAnsi="Calibri" w:eastAsia="Calibri"/>
          <w:b/>
        </w:rPr>
        <w:t>Promedio (1 a 5):</w:t>
      </w:r>
      <w:r>
        <w:rPr>
          <w:rFonts w:ascii="Calibri" w:hAnsi="Calibri" w:eastAsia="Calibri"/>
        </w:rPr>
        <w:t xml:space="preserve"> resume cada afirmación o dimensión. Como la escala es de opinión, se usa como orientación, no como medida exacta (Norman, 2010; Sullivan y Artino, 2013).</w:t>
      </w:r>
    </w:p>
    <w:p>
      <w:pPr>
        <w:pStyle w:val="ListBullet"/>
        <w:spacing w:after="60"/>
      </w:pPr>
      <w:r>
        <w:rPr>
          <w:rFonts w:ascii="Calibri" w:hAnsi="Calibri" w:eastAsia="Calibri"/>
          <w:b/>
        </w:rPr>
        <w:t>% de acuerdo:</w:t>
      </w:r>
      <w:r>
        <w:rPr>
          <w:rFonts w:ascii="Calibri" w:hAnsi="Calibri" w:eastAsia="Calibri"/>
        </w:rPr>
        <w:t xml:space="preserve"> porcentaje que respondió 4 o 5. Es la cifra más fácil de comunicar y es la que usamos para el semáforo.</w:t>
      </w:r>
    </w:p>
    <w:p>
      <w:pPr>
        <w:pStyle w:val="ListBullet"/>
        <w:spacing w:after="60"/>
      </w:pPr>
      <w:r>
        <w:rPr>
          <w:rFonts w:ascii="Calibri" w:hAnsi="Calibri" w:eastAsia="Calibri"/>
          <w:b/>
        </w:rPr>
        <w:t>Semáforo de afirmaciones (criterio propuesto):</w:t>
      </w:r>
      <w:r>
        <w:rPr>
          <w:rFonts w:ascii="Calibri" w:hAnsi="Calibri" w:eastAsia="Calibri"/>
        </w:rPr>
        <w:t xml:space="preserve"> Fortaleza ≥ 80 % · Funcional 70–79 % · En desarrollo 60–69 % · Brecha &lt; 60 %. La meta de 70 % se alinea con la exigencia usada en las rúbricas DUOC.</w:t>
      </w:r>
    </w:p>
    <w:p>
      <w:pPr>
        <w:pStyle w:val="ListBullet"/>
        <w:spacing w:after="60"/>
      </w:pPr>
      <w:r>
        <w:rPr>
          <w:rFonts w:ascii="Calibri" w:hAnsi="Calibri" w:eastAsia="Calibri"/>
          <w:b/>
        </w:rPr>
        <w:t>Semáforo oficial por promedio (del Informe Metodológico del proyecto):</w:t>
      </w:r>
      <w:r>
        <w:rPr>
          <w:rFonts w:ascii="Calibri" w:hAnsi="Calibri" w:eastAsia="Calibri"/>
        </w:rPr>
        <w:t xml:space="preserve"> Verde ≥ 4,20 · Amarillo 3,50–4,19 · Rojo &lt; 3,50. Se usa para clasificar estudiantes y grupos.</w:t>
      </w:r>
    </w:p>
    <w:p>
      <w:pPr>
        <w:pStyle w:val="ListBullet"/>
        <w:spacing w:after="60"/>
      </w:pPr>
      <w:r>
        <w:rPr>
          <w:rFonts w:ascii="Calibri" w:hAnsi="Calibri" w:eastAsia="Calibri"/>
          <w:b/>
        </w:rPr>
        <w:t>Colores del semáforo:</w:t>
      </w:r>
      <w:r>
        <w:rPr>
          <w:rFonts w:ascii="Calibri" w:hAnsi="Calibri" w:eastAsia="Calibri"/>
        </w:rPr>
        <w:t xml:space="preserve"> en este documento se representan con la paleta Duoc UC (verde = negro; amarillo = amarillo; rojo = gris oscuro) y siempre se indican con texto.</w:t>
      </w:r>
    </w:p>
    <w:p>
      <w:pPr>
        <w:pStyle w:val="ListBullet"/>
        <w:spacing w:after="60"/>
      </w:pPr>
      <w:r>
        <w:rPr>
          <w:rFonts w:ascii="Calibri" w:hAnsi="Calibri" w:eastAsia="Calibri"/>
          <w:b/>
        </w:rPr>
        <w:t>Margen de error:</w:t>
      </w:r>
      <w:r>
        <w:rPr>
          <w:rFonts w:ascii="Calibri" w:hAnsi="Calibri" w:eastAsia="Calibri"/>
        </w:rPr>
        <w:t xml:space="preserve"> se calculó con un método llamado «bootstrap»; en los gráficos aparece como una barra gris alrededor del promedio.</w:t>
      </w:r>
    </w:p>
    <w:p>
      <w:pPr>
        <w:pStyle w:val="ListBullet"/>
        <w:spacing w:after="60"/>
      </w:pPr>
      <w:r>
        <w:rPr>
          <w:rFonts w:ascii="Calibri" w:hAnsi="Calibri" w:eastAsia="Calibri"/>
          <w:b/>
        </w:rPr>
        <w:t>Confiabilidad:</w:t>
      </w:r>
      <w:r>
        <w:rPr>
          <w:rFonts w:ascii="Calibri" w:hAnsi="Calibri" w:eastAsia="Calibri"/>
        </w:rPr>
        <w:t xml:space="preserve"> el conjunto de 15 afirmaciones se comporta de forma coherente (alfa de Cronbach = 0,93; sobre 0,70 es aceptable, Cronbach, 1951). La dimensión D4 es la menos consistente (0,64) porque mezcla dos ideas distintas: tener contactos (P11, P12) y querer proyectos con empresas (P15).</w:t>
      </w:r>
    </w:p>
    <w:p>
      <w:pPr>
        <w:pStyle w:val="Heading3"/>
      </w:pPr>
      <w:r>
        <w:t>Calidad de los datos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184 respuestas, todas con consentimiento informado; no hay correos repetidos.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54 respuestas «No sé / No aplica» (2,0 %); las afirmaciones con más «no sé» son P09, P12 y P14 (7 cada una).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12 estudiantes (6,5 %) marcaron la misma opción en las 15 afirmaciones. Se mantuvieron en el análisis; al quitarlos, los resultados casi no cambian (ver Anexo).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 xml:space="preserve">La Escuela de Administración y Negocios concentra el 98 % de las respuestas, por lo que </w:t>
      </w:r>
      <w:r>
        <w:rPr>
          <w:rFonts w:ascii="Calibri" w:hAnsi="Calibri" w:eastAsia="Calibri"/>
          <w:b/>
        </w:rPr>
        <w:t>no es posible comparar entre escuelas</w:t>
      </w:r>
      <w:r>
        <w:rPr>
          <w:rFonts w:ascii="Calibri" w:hAnsi="Calibri" w:eastAsia="Calibri"/>
        </w:rPr>
        <w:t>.</w:t>
      </w:r>
    </w:p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tcBorders>
              <w:top w:val="nil"/>
              <w:left w:val="single" w:sz="32" w:color="FFB800"/>
              <w:bottom w:val="nil"/>
              <w:right w:val="nil"/>
            </w:tcBorders>
            <w:shd w:val="clear" w:color="auto" w:fill="EEEEEE"/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1"/>
              </w:rPr>
              <w:t>Una advertencia importante sobre los datos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 xml:space="preserve">La base trae </w:t>
            </w:r>
            <w:r>
              <w:rPr>
                <w:rFonts w:ascii="Calibri" w:hAnsi="Calibri" w:eastAsia="Calibri"/>
                <w:b/>
                <w:sz w:val="20"/>
              </w:rPr>
              <w:t>184 respuestas de un solo momento</w:t>
            </w:r>
            <w:r>
              <w:rPr>
                <w:rFonts w:ascii="Calibri" w:hAnsi="Calibri" w:eastAsia="Calibri"/>
                <w:sz w:val="20"/>
              </w:rPr>
              <w:t xml:space="preserve">. Los campos que permitirían comparar «antes y después» o «grupo La Puerta vs. grupo de comparación» (código de estudiante, momento de medición y grupo de asignación) vienen </w:t>
            </w:r>
            <w:r>
              <w:rPr>
                <w:rFonts w:ascii="Calibri" w:hAnsi="Calibri" w:eastAsia="Calibri"/>
                <w:b/>
                <w:sz w:val="20"/>
              </w:rPr>
              <w:t>vacíos en las 184 filas</w:t>
            </w:r>
            <w:r>
              <w:rPr>
                <w:rFonts w:ascii="Calibri" w:hAnsi="Calibri" w:eastAsia="Calibri"/>
                <w:sz w:val="20"/>
              </w:rPr>
              <w:t>, igual que la pregunta de valoración del programa (POST_EXP1).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 xml:space="preserve">Por eso este análisis describe </w:t>
            </w:r>
            <w:r>
              <w:rPr>
                <w:rFonts w:ascii="Calibri" w:hAnsi="Calibri" w:eastAsia="Calibri"/>
                <w:b/>
                <w:sz w:val="20"/>
              </w:rPr>
              <w:t>cómo se perciben hoy los estudiantes</w:t>
            </w:r>
            <w:r>
              <w:rPr>
                <w:rFonts w:ascii="Calibri" w:hAnsi="Calibri" w:eastAsia="Calibri"/>
                <w:sz w:val="20"/>
              </w:rPr>
              <w:t xml:space="preserve"> y contrasta hipótesis sobre </w:t>
            </w:r>
            <w:r>
              <w:rPr>
                <w:rFonts w:ascii="Calibri" w:hAnsi="Calibri" w:eastAsia="Calibri"/>
                <w:b/>
                <w:sz w:val="20"/>
              </w:rPr>
              <w:t>diferencias entre perfiles</w:t>
            </w:r>
            <w:r>
              <w:rPr>
                <w:rFonts w:ascii="Calibri" w:hAnsi="Calibri" w:eastAsia="Calibri"/>
                <w:sz w:val="20"/>
              </w:rPr>
              <w:t xml:space="preserve"> (por ejemplo, con y sin práctica previa). </w:t>
            </w:r>
            <w:r>
              <w:rPr>
                <w:rFonts w:ascii="Calibri" w:hAnsi="Calibri" w:eastAsia="Calibri"/>
                <w:b/>
                <w:sz w:val="20"/>
              </w:rPr>
              <w:t>No puede afirmar que el programa La Puerta produzca cambios</w:t>
            </w:r>
            <w:r>
              <w:rPr>
                <w:rFonts w:ascii="Calibri" w:hAnsi="Calibri" w:eastAsia="Calibri"/>
                <w:sz w:val="20"/>
              </w:rPr>
              <w:t>: eso requiere medir a las mismas personas antes y después, con un grupo de comparación.</w:t>
            </w:r>
          </w:p>
        </w:tc>
      </w:tr>
    </w:tbl>
    <w:p>
      <w:pPr>
        <w:spacing w:after="200" w:line="240" w:lineRule="auto"/>
      </w:pPr>
      <w:r>
        <w:rPr>
          <w:sz w:val="8"/>
        </w:rPr>
        <w:t xml:space="preserve"> </w:t>
      </w:r>
    </w:p>
    <w:p>
      <w:pPr>
        <w:pStyle w:val="Heading2"/>
        <w:pBdr>
          <w:left w:val="single" w:sz="28" w:space="8" w:color="FFB800"/>
        </w:pBdr>
      </w:pPr>
      <w:r>
        <w:t>2.2 Quiénes respondieron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684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1_perf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8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  <w:jc w:val="center"/>
      </w:pPr>
      <w:r>
        <w:rPr>
          <w:rFonts w:ascii="Calibri" w:hAnsi="Calibri" w:eastAsia="Calibri"/>
          <w:i/>
          <w:color w:val="666666"/>
          <w:sz w:val="18"/>
        </w:rPr>
        <w:t>Figura 2. Perfil de los 184 participantes: semestre en curso, práctica previa y escuela.</w:t>
      </w:r>
    </w:p>
    <w:p>
      <w:r>
        <w:rPr>
          <w:rFonts w:ascii="Calibri" w:hAnsi="Calibri" w:eastAsia="Calibri"/>
        </w:rPr>
        <w:t xml:space="preserve">La mitad de la muestra (49 %) cursa primer año; un 27 % está en tercer año y apenas una persona en cuarto. Sobre la práctica previa, </w:t>
      </w:r>
      <w:r>
        <w:rPr>
          <w:rFonts w:ascii="Calibri" w:hAnsi="Calibri" w:eastAsia="Calibri"/>
          <w:b/>
        </w:rPr>
        <w:t>112 estudiantes (61 %) nunca han hecho una práctica</w:t>
      </w:r>
      <w:r>
        <w:rPr>
          <w:rFonts w:ascii="Calibri" w:hAnsi="Calibri" w:eastAsia="Calibri"/>
        </w:rPr>
        <w:t>, 44 la hicieron en el colegio técnico-profesional (EMTP), 23 hicieron una pasantía en su carrera y 5 en otra carrera.</w:t>
      </w:r>
    </w:p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tcBorders>
              <w:top w:val="nil"/>
              <w:left w:val="single" w:sz="32" w:color="FFB800"/>
              <w:bottom w:val="nil"/>
              <w:right w:val="nil"/>
            </w:tcBorders>
            <w:shd w:val="clear" w:color="auto" w:fill="EEEEEE"/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1"/>
              </w:rPr>
              <w:t>Un detalle que conviene recordar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 xml:space="preserve">Práctica previa y año de estudio </w:t>
            </w:r>
            <w:r>
              <w:rPr>
                <w:rFonts w:ascii="Calibri" w:hAnsi="Calibri" w:eastAsia="Calibri"/>
                <w:b/>
                <w:sz w:val="20"/>
              </w:rPr>
              <w:t>van de la mano</w:t>
            </w:r>
            <w:r>
              <w:rPr>
                <w:rFonts w:ascii="Calibri" w:hAnsi="Calibri" w:eastAsia="Calibri"/>
                <w:sz w:val="20"/>
              </w:rPr>
              <w:t>: en 1.º–2.º semestre el 33 % tiene práctica previa; en 5.º semestre o más, el 63 %. Al comparar grupos hay que tener presente que se mezclan ambos efectos.</w:t>
            </w:r>
          </w:p>
        </w:tc>
      </w:tr>
    </w:tbl>
    <w:p>
      <w:pPr>
        <w:spacing w:after="200" w:line="240" w:lineRule="auto"/>
      </w:pPr>
      <w:r>
        <w:rPr>
          <w:sz w:val="8"/>
        </w:rPr>
        <w:t xml:space="preserve"> </w:t>
      </w:r>
    </w:p>
    <w:p>
      <w:pPr>
        <w:pStyle w:val="Heading2"/>
        <w:pBdr>
          <w:left w:val="single" w:sz="28" w:space="8" w:color="FFB800"/>
        </w:pBdr>
      </w:pPr>
      <w:r>
        <w:t>2.3 Resultados en detalle</w:t>
      </w:r>
    </w:p>
    <w:p>
      <w:pPr>
        <w:pStyle w:val="Heading3"/>
      </w:pPr>
      <w:r>
        <w:t>Panorama general</w:t>
      </w:r>
    </w:p>
    <w:p>
      <w:r>
        <w:rPr>
          <w:rFonts w:ascii="Calibri" w:hAnsi="Calibri" w:eastAsia="Calibri"/>
        </w:rPr>
        <w:t xml:space="preserve">El puntaje global promedio es </w:t>
      </w:r>
      <w:r>
        <w:rPr>
          <w:rFonts w:ascii="Calibri" w:hAnsi="Calibri" w:eastAsia="Calibri"/>
          <w:b/>
        </w:rPr>
        <w:t>3,87</w:t>
      </w:r>
      <w:r>
        <w:rPr>
          <w:rFonts w:ascii="Calibri" w:hAnsi="Calibri" w:eastAsia="Calibri"/>
        </w:rPr>
        <w:t xml:space="preserve"> (margen de error 95 %: 3,77 a 3,96). La mitad de los estudiantes está sobre 3,87. Si clasificamos a cada estudiante por su propio promedio: </w:t>
      </w:r>
      <w:r>
        <w:rPr>
          <w:rFonts w:ascii="Calibri" w:hAnsi="Calibri" w:eastAsia="Calibri"/>
          <w:b/>
        </w:rPr>
        <w:t>82 (45 %) tienen un perfil sólido</w:t>
      </w:r>
      <w:r>
        <w:rPr>
          <w:rFonts w:ascii="Calibri" w:hAnsi="Calibri" w:eastAsia="Calibri"/>
        </w:rPr>
        <w:t xml:space="preserve"> (4 o más), </w:t>
      </w:r>
      <w:r>
        <w:rPr>
          <w:rFonts w:ascii="Calibri" w:hAnsi="Calibri" w:eastAsia="Calibri"/>
          <w:b/>
        </w:rPr>
        <w:t>87 (47 %) un perfil intermedio</w:t>
      </w:r>
      <w:r>
        <w:rPr>
          <w:rFonts w:ascii="Calibri" w:hAnsi="Calibri" w:eastAsia="Calibri"/>
        </w:rPr>
        <w:t xml:space="preserve"> y </w:t>
      </w:r>
      <w:r>
        <w:rPr>
          <w:rFonts w:ascii="Calibri" w:hAnsi="Calibri" w:eastAsia="Calibri"/>
          <w:b/>
        </w:rPr>
        <w:t>15 (8 %) un perfil por fortalecer</w:t>
      </w:r>
      <w:r>
        <w:rPr>
          <w:rFonts w:ascii="Calibri" w:hAnsi="Calibri" w:eastAsia="Calibri"/>
        </w:rPr>
        <w:t xml:space="preserve"> (menos de 3).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78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4_global_h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7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  <w:jc w:val="center"/>
      </w:pPr>
      <w:r>
        <w:rPr>
          <w:rFonts w:ascii="Calibri" w:hAnsi="Calibri" w:eastAsia="Calibri"/>
          <w:i/>
          <w:color w:val="666666"/>
          <w:sz w:val="18"/>
        </w:rPr>
        <w:t>Figura 3. Cómo se distribuye el puntaje global de los estudiantes.</w:t>
      </w:r>
    </w:p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tcBorders>
              <w:top w:val="nil"/>
              <w:left w:val="single" w:sz="32" w:color="FFB800"/>
              <w:bottom w:val="nil"/>
              <w:right w:val="nil"/>
            </w:tcBorders>
            <w:shd w:val="clear" w:color="auto" w:fill="EEEEEE"/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1"/>
              </w:rPr>
              <w:t>Cómo leer este gráfico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Cada barra cuenta cuántos estudiantes tienen un puntaje en ese tramo. La mayoría se agrupa entre 3,5 y 4,5; hay una «cola» pequeña hacia abajo (amarillo) que corresponde a quienes más necesitan apoyo.</w:t>
            </w:r>
          </w:p>
        </w:tc>
      </w:tr>
    </w:tbl>
    <w:p>
      <w:pPr>
        <w:spacing w:after="200" w:line="240" w:lineRule="auto"/>
      </w:pPr>
      <w:r>
        <w:rPr>
          <w:sz w:val="8"/>
        </w:rPr>
        <w:t xml:space="preserve"> </w:t>
      </w:r>
    </w:p>
    <w:p>
      <w:pPr>
        <w:pStyle w:val="Heading3"/>
      </w:pPr>
      <w:r>
        <w:t>Afirmación por afirmación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7820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2_item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82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  <w:jc w:val="center"/>
      </w:pPr>
      <w:r>
        <w:rPr>
          <w:rFonts w:ascii="Calibri" w:hAnsi="Calibri" w:eastAsia="Calibri"/>
          <w:i/>
          <w:color w:val="666666"/>
          <w:sz w:val="18"/>
        </w:rPr>
        <w:t>Figura 4. Distribución de respuestas en las 15 afirmaciones (ordenadas de menor a mayor acuerdo).</w:t>
      </w:r>
    </w:p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tcBorders>
              <w:top w:val="nil"/>
              <w:left w:val="single" w:sz="32" w:color="FFB800"/>
              <w:bottom w:val="nil"/>
              <w:right w:val="nil"/>
            </w:tcBorders>
            <w:shd w:val="clear" w:color="auto" w:fill="EEEEEE"/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1"/>
              </w:rPr>
              <w:t>Cómo leer este gráfico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Cada fila es una afirmación. A la derecha del centro, en negro, quienes están de acuerdo; a la izquierda, en amarillo, quienes están en desacuerdo, y en gris los neutrales. Entre más larga la barra negra, mejor. La fila de abajo (P12, contactos) destaca por su barra amarilla larga.</w:t>
            </w:r>
          </w:p>
        </w:tc>
      </w:tr>
    </w:tbl>
    <w:p>
      <w:pPr>
        <w:spacing w:after="200" w:line="240" w:lineRule="auto"/>
      </w:pPr>
      <w:r>
        <w:rPr>
          <w:sz w:val="8"/>
        </w:rPr>
        <w:t xml:space="preserve"> 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8681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5_semafo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68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  <w:jc w:val="center"/>
      </w:pPr>
      <w:r>
        <w:rPr>
          <w:rFonts w:ascii="Calibri" w:hAnsi="Calibri" w:eastAsia="Calibri"/>
          <w:i/>
          <w:color w:val="666666"/>
          <w:sz w:val="18"/>
        </w:rPr>
        <w:t>Figura 5. Semáforo de las afirmaciones frente a la meta de 70 %.</w:t>
      </w:r>
    </w:p>
    <w:tbl>
      <w:tblPr>
        <w:tblW w:type="dxa" w:w="9355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563"/>
        <w:gridCol w:w="3945"/>
        <w:gridCol w:w="789"/>
        <w:gridCol w:w="1070"/>
        <w:gridCol w:w="901"/>
        <w:gridCol w:w="958"/>
        <w:gridCol w:w="1127"/>
      </w:tblGrid>
      <w:tr>
        <w:trPr>
          <w:tblHeader w:val="true"/>
        </w:trPr>
        <w:tc>
          <w:tcPr>
            <w:tcW w:type="dxa" w:w="564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3945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Afirmación</w:t>
            </w:r>
          </w:p>
        </w:tc>
        <w:tc>
          <w:tcPr>
            <w:tcW w:type="dxa" w:w="789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Prom.</w:t>
            </w:r>
          </w:p>
        </w:tc>
        <w:tc>
          <w:tcPr>
            <w:tcW w:type="dxa" w:w="1071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De acuerdo</w:t>
            </w:r>
          </w:p>
        </w:tc>
        <w:tc>
          <w:tcPr>
            <w:tcW w:type="dxa" w:w="902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Neutral</w:t>
            </w:r>
          </w:p>
        </w:tc>
        <w:tc>
          <w:tcPr>
            <w:tcW w:type="dxa" w:w="958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En desac.</w:t>
            </w:r>
          </w:p>
        </w:tc>
        <w:tc>
          <w:tcPr>
            <w:tcW w:type="dxa" w:w="1127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Semáforo</w:t>
            </w:r>
          </w:p>
        </w:tc>
      </w:tr>
      <w:tr>
        <w:trPr>
          <w:cantSplit/>
        </w:trPr>
        <w:tc>
          <w:tcPr>
            <w:tcW w:type="dxa" w:w="5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P07</w:t>
            </w:r>
          </w:p>
        </w:tc>
        <w:tc>
          <w:tcPr>
            <w:tcW w:type="dxa" w:w="39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Dialogo y logro acuerdos en equipo</w:t>
            </w:r>
          </w:p>
        </w:tc>
        <w:tc>
          <w:tcPr>
            <w:tcW w:type="dxa" w:w="78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4,14</w:t>
            </w:r>
          </w:p>
        </w:tc>
        <w:tc>
          <w:tcPr>
            <w:tcW w:type="dxa" w:w="10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87 %</w:t>
            </w:r>
          </w:p>
        </w:tc>
        <w:tc>
          <w:tcPr>
            <w:tcW w:type="dxa" w:w="90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8 %</w:t>
            </w:r>
          </w:p>
        </w:tc>
        <w:tc>
          <w:tcPr>
            <w:tcW w:type="dxa" w:w="95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5 %</w:t>
            </w:r>
          </w:p>
        </w:tc>
        <w:tc>
          <w:tcPr>
            <w:tcW w:type="dxa" w:w="1127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Fortaleza</w:t>
            </w:r>
          </w:p>
        </w:tc>
      </w:tr>
      <w:tr>
        <w:trPr>
          <w:cantSplit/>
        </w:trPr>
        <w:tc>
          <w:tcPr>
            <w:tcW w:type="dxa" w:w="56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P14</w:t>
            </w:r>
          </w:p>
        </w:tc>
        <w:tc>
          <w:tcPr>
            <w:tcW w:type="dxa" w:w="3945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Priorizo la ética bajo presión</w:t>
            </w:r>
          </w:p>
        </w:tc>
        <w:tc>
          <w:tcPr>
            <w:tcW w:type="dxa" w:w="78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4,04</w:t>
            </w:r>
          </w:p>
        </w:tc>
        <w:tc>
          <w:tcPr>
            <w:tcW w:type="dxa" w:w="10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85 %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10 %</w:t>
            </w:r>
          </w:p>
        </w:tc>
        <w:tc>
          <w:tcPr>
            <w:tcW w:type="dxa" w:w="95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5 %</w:t>
            </w:r>
          </w:p>
        </w:tc>
        <w:tc>
          <w:tcPr>
            <w:tcW w:type="dxa" w:w="1127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Fortaleza</w:t>
            </w:r>
          </w:p>
        </w:tc>
      </w:tr>
      <w:tr>
        <w:trPr>
          <w:cantSplit/>
        </w:trPr>
        <w:tc>
          <w:tcPr>
            <w:tcW w:type="dxa" w:w="5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P15</w:t>
            </w:r>
          </w:p>
        </w:tc>
        <w:tc>
          <w:tcPr>
            <w:tcW w:type="dxa" w:w="39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Quiero participar en proyectos con empresas reales</w:t>
            </w:r>
          </w:p>
        </w:tc>
        <w:tc>
          <w:tcPr>
            <w:tcW w:type="dxa" w:w="78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4,24</w:t>
            </w:r>
          </w:p>
        </w:tc>
        <w:tc>
          <w:tcPr>
            <w:tcW w:type="dxa" w:w="10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83 %</w:t>
            </w:r>
          </w:p>
        </w:tc>
        <w:tc>
          <w:tcPr>
            <w:tcW w:type="dxa" w:w="90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13 %</w:t>
            </w:r>
          </w:p>
        </w:tc>
        <w:tc>
          <w:tcPr>
            <w:tcW w:type="dxa" w:w="95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3 %</w:t>
            </w:r>
          </w:p>
        </w:tc>
        <w:tc>
          <w:tcPr>
            <w:tcW w:type="dxa" w:w="1127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Fortaleza</w:t>
            </w:r>
          </w:p>
        </w:tc>
      </w:tr>
      <w:tr>
        <w:trPr>
          <w:cantSplit/>
        </w:trPr>
        <w:tc>
          <w:tcPr>
            <w:tcW w:type="dxa" w:w="56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P03</w:t>
            </w:r>
          </w:p>
        </w:tc>
        <w:tc>
          <w:tcPr>
            <w:tcW w:type="dxa" w:w="3945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Confío en resolver una tarea nueva</w:t>
            </w:r>
          </w:p>
        </w:tc>
        <w:tc>
          <w:tcPr>
            <w:tcW w:type="dxa" w:w="78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4,14</w:t>
            </w:r>
          </w:p>
        </w:tc>
        <w:tc>
          <w:tcPr>
            <w:tcW w:type="dxa" w:w="10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82 %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11 %</w:t>
            </w:r>
          </w:p>
        </w:tc>
        <w:tc>
          <w:tcPr>
            <w:tcW w:type="dxa" w:w="95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7 %</w:t>
            </w:r>
          </w:p>
        </w:tc>
        <w:tc>
          <w:tcPr>
            <w:tcW w:type="dxa" w:w="1127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Fortaleza</w:t>
            </w:r>
          </w:p>
        </w:tc>
      </w:tr>
      <w:tr>
        <w:trPr>
          <w:cantSplit/>
        </w:trPr>
        <w:tc>
          <w:tcPr>
            <w:tcW w:type="dxa" w:w="5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P08</w:t>
            </w:r>
          </w:p>
        </w:tc>
        <w:tc>
          <w:tcPr>
            <w:tcW w:type="dxa" w:w="39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Sé cuándo actuar solo/a y cuándo consultar</w:t>
            </w:r>
          </w:p>
        </w:tc>
        <w:tc>
          <w:tcPr>
            <w:tcW w:type="dxa" w:w="78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4,01</w:t>
            </w:r>
          </w:p>
        </w:tc>
        <w:tc>
          <w:tcPr>
            <w:tcW w:type="dxa" w:w="10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80 %</w:t>
            </w:r>
          </w:p>
        </w:tc>
        <w:tc>
          <w:tcPr>
            <w:tcW w:type="dxa" w:w="90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11 %</w:t>
            </w:r>
          </w:p>
        </w:tc>
        <w:tc>
          <w:tcPr>
            <w:tcW w:type="dxa" w:w="95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9 %</w:t>
            </w:r>
          </w:p>
        </w:tc>
        <w:tc>
          <w:tcPr>
            <w:tcW w:type="dxa" w:w="1127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Fortaleza</w:t>
            </w:r>
          </w:p>
        </w:tc>
      </w:tr>
      <w:tr>
        <w:trPr>
          <w:cantSplit/>
        </w:trPr>
        <w:tc>
          <w:tcPr>
            <w:tcW w:type="dxa" w:w="56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P13</w:t>
            </w:r>
          </w:p>
        </w:tc>
        <w:tc>
          <w:tcPr>
            <w:tcW w:type="dxa" w:w="3945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Aprendo de mis errores</w:t>
            </w:r>
          </w:p>
        </w:tc>
        <w:tc>
          <w:tcPr>
            <w:tcW w:type="dxa" w:w="78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3,97</w:t>
            </w:r>
          </w:p>
        </w:tc>
        <w:tc>
          <w:tcPr>
            <w:tcW w:type="dxa" w:w="10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76 %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18 %</w:t>
            </w:r>
          </w:p>
        </w:tc>
        <w:tc>
          <w:tcPr>
            <w:tcW w:type="dxa" w:w="95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6 %</w:t>
            </w:r>
          </w:p>
        </w:tc>
        <w:tc>
          <w:tcPr>
            <w:tcW w:type="dxa" w:w="1127"/>
            <w:shd w:val="clear" w:color="auto" w:fill="6666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Funcional</w:t>
            </w:r>
          </w:p>
        </w:tc>
      </w:tr>
      <w:tr>
        <w:trPr>
          <w:cantSplit/>
        </w:trPr>
        <w:tc>
          <w:tcPr>
            <w:tcW w:type="dxa" w:w="5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P05</w:t>
            </w:r>
          </w:p>
        </w:tc>
        <w:tc>
          <w:tcPr>
            <w:tcW w:type="dxa" w:w="39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Aplico lo de clases a casos reales</w:t>
            </w:r>
          </w:p>
        </w:tc>
        <w:tc>
          <w:tcPr>
            <w:tcW w:type="dxa" w:w="78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3,93</w:t>
            </w:r>
          </w:p>
        </w:tc>
        <w:tc>
          <w:tcPr>
            <w:tcW w:type="dxa" w:w="10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76 %</w:t>
            </w:r>
          </w:p>
        </w:tc>
        <w:tc>
          <w:tcPr>
            <w:tcW w:type="dxa" w:w="90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18 %</w:t>
            </w:r>
          </w:p>
        </w:tc>
        <w:tc>
          <w:tcPr>
            <w:tcW w:type="dxa" w:w="95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5 %</w:t>
            </w:r>
          </w:p>
        </w:tc>
        <w:tc>
          <w:tcPr>
            <w:tcW w:type="dxa" w:w="1127"/>
            <w:shd w:val="clear" w:color="auto" w:fill="6666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Funcional</w:t>
            </w:r>
          </w:p>
        </w:tc>
      </w:tr>
      <w:tr>
        <w:trPr>
          <w:cantSplit/>
        </w:trPr>
        <w:tc>
          <w:tcPr>
            <w:tcW w:type="dxa" w:w="56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P02</w:t>
            </w:r>
          </w:p>
        </w:tc>
        <w:tc>
          <w:tcPr>
            <w:tcW w:type="dxa" w:w="3945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Tengo claras las exigencias de las empresas</w:t>
            </w:r>
          </w:p>
        </w:tc>
        <w:tc>
          <w:tcPr>
            <w:tcW w:type="dxa" w:w="78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3,81</w:t>
            </w:r>
          </w:p>
        </w:tc>
        <w:tc>
          <w:tcPr>
            <w:tcW w:type="dxa" w:w="10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69 %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19 %</w:t>
            </w:r>
          </w:p>
        </w:tc>
        <w:tc>
          <w:tcPr>
            <w:tcW w:type="dxa" w:w="95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12 %</w:t>
            </w:r>
          </w:p>
        </w:tc>
        <w:tc>
          <w:tcPr>
            <w:tcW w:type="dxa" w:w="1127"/>
            <w:shd w:val="clear" w:color="auto" w:fill="FFD8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En desarrollo</w:t>
            </w:r>
          </w:p>
        </w:tc>
      </w:tr>
      <w:tr>
        <w:trPr>
          <w:cantSplit/>
        </w:trPr>
        <w:tc>
          <w:tcPr>
            <w:tcW w:type="dxa" w:w="5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P10</w:t>
            </w:r>
          </w:p>
        </w:tc>
        <w:tc>
          <w:tcPr>
            <w:tcW w:type="dxa" w:w="39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Me siento seguro/a de adaptarme a un puesto</w:t>
            </w:r>
          </w:p>
        </w:tc>
        <w:tc>
          <w:tcPr>
            <w:tcW w:type="dxa" w:w="78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3,82</w:t>
            </w:r>
          </w:p>
        </w:tc>
        <w:tc>
          <w:tcPr>
            <w:tcW w:type="dxa" w:w="10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69 %</w:t>
            </w:r>
          </w:p>
        </w:tc>
        <w:tc>
          <w:tcPr>
            <w:tcW w:type="dxa" w:w="90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23 %</w:t>
            </w:r>
          </w:p>
        </w:tc>
        <w:tc>
          <w:tcPr>
            <w:tcW w:type="dxa" w:w="95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9 %</w:t>
            </w:r>
          </w:p>
        </w:tc>
        <w:tc>
          <w:tcPr>
            <w:tcW w:type="dxa" w:w="1127"/>
            <w:shd w:val="clear" w:color="auto" w:fill="FFD8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En desarrollo</w:t>
            </w:r>
          </w:p>
        </w:tc>
      </w:tr>
      <w:tr>
        <w:trPr>
          <w:cantSplit/>
        </w:trPr>
        <w:tc>
          <w:tcPr>
            <w:tcW w:type="dxa" w:w="56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P01</w:t>
            </w:r>
          </w:p>
        </w:tc>
        <w:tc>
          <w:tcPr>
            <w:tcW w:type="dxa" w:w="3945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Conozco las tareas y condiciones reales de trabajo</w:t>
            </w:r>
          </w:p>
        </w:tc>
        <w:tc>
          <w:tcPr>
            <w:tcW w:type="dxa" w:w="78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3,78</w:t>
            </w:r>
          </w:p>
        </w:tc>
        <w:tc>
          <w:tcPr>
            <w:tcW w:type="dxa" w:w="10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68 %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21 %</w:t>
            </w:r>
          </w:p>
        </w:tc>
        <w:tc>
          <w:tcPr>
            <w:tcW w:type="dxa" w:w="95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10 %</w:t>
            </w:r>
          </w:p>
        </w:tc>
        <w:tc>
          <w:tcPr>
            <w:tcW w:type="dxa" w:w="1127"/>
            <w:shd w:val="clear" w:color="auto" w:fill="FFD8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En desarrollo</w:t>
            </w:r>
          </w:p>
        </w:tc>
      </w:tr>
      <w:tr>
        <w:trPr>
          <w:cantSplit/>
        </w:trPr>
        <w:tc>
          <w:tcPr>
            <w:tcW w:type="dxa" w:w="5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P04</w:t>
            </w:r>
          </w:p>
        </w:tc>
        <w:tc>
          <w:tcPr>
            <w:tcW w:type="dxa" w:w="39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Explico temas técnicos con claridad</w:t>
            </w:r>
          </w:p>
        </w:tc>
        <w:tc>
          <w:tcPr>
            <w:tcW w:type="dxa" w:w="78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3,77</w:t>
            </w:r>
          </w:p>
        </w:tc>
        <w:tc>
          <w:tcPr>
            <w:tcW w:type="dxa" w:w="10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68 %</w:t>
            </w:r>
          </w:p>
        </w:tc>
        <w:tc>
          <w:tcPr>
            <w:tcW w:type="dxa" w:w="90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24 %</w:t>
            </w:r>
          </w:p>
        </w:tc>
        <w:tc>
          <w:tcPr>
            <w:tcW w:type="dxa" w:w="95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8 %</w:t>
            </w:r>
          </w:p>
        </w:tc>
        <w:tc>
          <w:tcPr>
            <w:tcW w:type="dxa" w:w="1127"/>
            <w:shd w:val="clear" w:color="auto" w:fill="FFD8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En desarrollo</w:t>
            </w:r>
          </w:p>
        </w:tc>
      </w:tr>
      <w:tr>
        <w:trPr>
          <w:cantSplit/>
        </w:trPr>
        <w:tc>
          <w:tcPr>
            <w:tcW w:type="dxa" w:w="56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P06</w:t>
            </w:r>
          </w:p>
        </w:tc>
        <w:tc>
          <w:tcPr>
            <w:tcW w:type="dxa" w:w="3945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Sé qué método sirve en la empresa</w:t>
            </w:r>
          </w:p>
        </w:tc>
        <w:tc>
          <w:tcPr>
            <w:tcW w:type="dxa" w:w="78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3,78</w:t>
            </w:r>
          </w:p>
        </w:tc>
        <w:tc>
          <w:tcPr>
            <w:tcW w:type="dxa" w:w="10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66 %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29 %</w:t>
            </w:r>
          </w:p>
        </w:tc>
        <w:tc>
          <w:tcPr>
            <w:tcW w:type="dxa" w:w="95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6 %</w:t>
            </w:r>
          </w:p>
        </w:tc>
        <w:tc>
          <w:tcPr>
            <w:tcW w:type="dxa" w:w="1127"/>
            <w:shd w:val="clear" w:color="auto" w:fill="FFD8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En desarrollo</w:t>
            </w:r>
          </w:p>
        </w:tc>
      </w:tr>
      <w:tr>
        <w:trPr>
          <w:cantSplit/>
        </w:trPr>
        <w:tc>
          <w:tcPr>
            <w:tcW w:type="dxa" w:w="5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P11</w:t>
            </w:r>
          </w:p>
        </w:tc>
        <w:tc>
          <w:tcPr>
            <w:tcW w:type="dxa" w:w="39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Sé cómo contactar a profesionales del sector</w:t>
            </w:r>
          </w:p>
        </w:tc>
        <w:tc>
          <w:tcPr>
            <w:tcW w:type="dxa" w:w="78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3,75</w:t>
            </w:r>
          </w:p>
        </w:tc>
        <w:tc>
          <w:tcPr>
            <w:tcW w:type="dxa" w:w="10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64 %</w:t>
            </w:r>
          </w:p>
        </w:tc>
        <w:tc>
          <w:tcPr>
            <w:tcW w:type="dxa" w:w="90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25 %</w:t>
            </w:r>
          </w:p>
        </w:tc>
        <w:tc>
          <w:tcPr>
            <w:tcW w:type="dxa" w:w="95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11 %</w:t>
            </w:r>
          </w:p>
        </w:tc>
        <w:tc>
          <w:tcPr>
            <w:tcW w:type="dxa" w:w="1127"/>
            <w:shd w:val="clear" w:color="auto" w:fill="FFD8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En desarrollo</w:t>
            </w:r>
          </w:p>
        </w:tc>
      </w:tr>
      <w:tr>
        <w:trPr>
          <w:cantSplit/>
        </w:trPr>
        <w:tc>
          <w:tcPr>
            <w:tcW w:type="dxa" w:w="56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P09</w:t>
            </w:r>
          </w:p>
        </w:tc>
        <w:tc>
          <w:tcPr>
            <w:tcW w:type="dxa" w:w="3945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He comprobado si el trabajo real calza con mis intereses</w:t>
            </w:r>
          </w:p>
        </w:tc>
        <w:tc>
          <w:tcPr>
            <w:tcW w:type="dxa" w:w="78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3,68</w:t>
            </w:r>
          </w:p>
        </w:tc>
        <w:tc>
          <w:tcPr>
            <w:tcW w:type="dxa" w:w="10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62 %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26 %</w:t>
            </w:r>
          </w:p>
        </w:tc>
        <w:tc>
          <w:tcPr>
            <w:tcW w:type="dxa" w:w="95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12 %</w:t>
            </w:r>
          </w:p>
        </w:tc>
        <w:tc>
          <w:tcPr>
            <w:tcW w:type="dxa" w:w="1127"/>
            <w:shd w:val="clear" w:color="auto" w:fill="FFD8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En desarrollo</w:t>
            </w:r>
          </w:p>
        </w:tc>
      </w:tr>
      <w:tr>
        <w:trPr>
          <w:cantSplit/>
        </w:trPr>
        <w:tc>
          <w:tcPr>
            <w:tcW w:type="dxa" w:w="5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P12</w:t>
            </w:r>
          </w:p>
        </w:tc>
        <w:tc>
          <w:tcPr>
            <w:tcW w:type="dxa" w:w="394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Tengo una red de contactos referentes</w:t>
            </w:r>
          </w:p>
        </w:tc>
        <w:tc>
          <w:tcPr>
            <w:tcW w:type="dxa" w:w="78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3,14</w:t>
            </w:r>
          </w:p>
        </w:tc>
        <w:tc>
          <w:tcPr>
            <w:tcW w:type="dxa" w:w="107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41 %</w:t>
            </w:r>
          </w:p>
        </w:tc>
        <w:tc>
          <w:tcPr>
            <w:tcW w:type="dxa" w:w="90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29 %</w:t>
            </w:r>
          </w:p>
        </w:tc>
        <w:tc>
          <w:tcPr>
            <w:tcW w:type="dxa" w:w="95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30 %</w:t>
            </w:r>
          </w:p>
        </w:tc>
        <w:tc>
          <w:tcPr>
            <w:tcW w:type="dxa" w:w="1127"/>
            <w:shd w:val="clear" w:color="auto" w:fill="FFB8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Brecha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p>
      <w:pPr>
        <w:pStyle w:val="Heading4"/>
      </w:pPr>
      <w:r>
        <w:t>Fortalezas (80 % o más de acuerdo)</w:t>
      </w:r>
    </w:p>
    <w:p>
      <w:pPr>
        <w:pStyle w:val="ListBullet"/>
        <w:spacing w:after="60"/>
      </w:pPr>
      <w:r>
        <w:rPr>
          <w:rFonts w:ascii="Calibri" w:hAnsi="Calibri" w:eastAsia="Calibri"/>
          <w:b/>
        </w:rPr>
        <w:t>Diálogo y acuerdos en equipo (P07):</w:t>
      </w:r>
      <w:r>
        <w:rPr>
          <w:rFonts w:ascii="Calibri" w:hAnsi="Calibri" w:eastAsia="Calibri"/>
        </w:rPr>
        <w:t xml:space="preserve"> 87 %. Los estudiantes se ven capaces de expresar su punto de vista buscando acuerdos.</w:t>
      </w:r>
    </w:p>
    <w:p>
      <w:pPr>
        <w:pStyle w:val="ListBullet"/>
        <w:spacing w:after="60"/>
      </w:pPr>
      <w:r>
        <w:rPr>
          <w:rFonts w:ascii="Calibri" w:hAnsi="Calibri" w:eastAsia="Calibri"/>
          <w:b/>
        </w:rPr>
        <w:t>Ética bajo presión (P14):</w:t>
      </w:r>
      <w:r>
        <w:rPr>
          <w:rFonts w:ascii="Calibri" w:hAnsi="Calibri" w:eastAsia="Calibri"/>
        </w:rPr>
        <w:t xml:space="preserve"> 85 %.</w:t>
      </w:r>
    </w:p>
    <w:p>
      <w:pPr>
        <w:pStyle w:val="ListBullet"/>
        <w:spacing w:after="60"/>
      </w:pPr>
      <w:r>
        <w:rPr>
          <w:rFonts w:ascii="Calibri" w:hAnsi="Calibri" w:eastAsia="Calibri"/>
          <w:b/>
        </w:rPr>
        <w:t>Interés en proyectos con empresas (P15):</w:t>
      </w:r>
      <w:r>
        <w:rPr>
          <w:rFonts w:ascii="Calibri" w:hAnsi="Calibri" w:eastAsia="Calibri"/>
        </w:rPr>
        <w:t xml:space="preserve"> 83 %; solo 3 % en desacuerdo.</w:t>
      </w:r>
    </w:p>
    <w:p>
      <w:pPr>
        <w:pStyle w:val="ListBullet"/>
        <w:spacing w:after="60"/>
      </w:pPr>
      <w:r>
        <w:rPr>
          <w:rFonts w:ascii="Calibri" w:hAnsi="Calibri" w:eastAsia="Calibri"/>
          <w:b/>
        </w:rPr>
        <w:t>Confianza ante tareas nuevas (P03):</w:t>
      </w:r>
      <w:r>
        <w:rPr>
          <w:rFonts w:ascii="Calibri" w:hAnsi="Calibri" w:eastAsia="Calibri"/>
        </w:rPr>
        <w:t xml:space="preserve"> 82 %; es la única afirmación sobre competencia donde el 5 («muy de acuerdo») es la respuesta más frecuente (41 %).</w:t>
      </w:r>
    </w:p>
    <w:p>
      <w:pPr>
        <w:pStyle w:val="ListBullet"/>
        <w:spacing w:after="60"/>
      </w:pPr>
      <w:r>
        <w:rPr>
          <w:rFonts w:ascii="Calibri" w:hAnsi="Calibri" w:eastAsia="Calibri"/>
          <w:b/>
        </w:rPr>
        <w:t>Autonomía vs. consulta (P08):</w:t>
      </w:r>
      <w:r>
        <w:rPr>
          <w:rFonts w:ascii="Calibri" w:hAnsi="Calibri" w:eastAsia="Calibri"/>
        </w:rPr>
        <w:t xml:space="preserve"> 80 %.</w:t>
      </w:r>
    </w:p>
    <w:p>
      <w:pPr>
        <w:pStyle w:val="Heading4"/>
      </w:pPr>
      <w:r>
        <w:t>Oportunidades de mejora (menos de 70 %)</w:t>
      </w:r>
    </w:p>
    <w:p>
      <w:pPr>
        <w:pStyle w:val="ListBullet"/>
        <w:spacing w:after="60"/>
      </w:pPr>
      <w:r>
        <w:rPr>
          <w:rFonts w:ascii="Calibri" w:hAnsi="Calibri" w:eastAsia="Calibri"/>
          <w:b/>
        </w:rPr>
        <w:t>Red de contactos (P12):</w:t>
      </w:r>
      <w:r>
        <w:rPr>
          <w:rFonts w:ascii="Calibri" w:hAnsi="Calibri" w:eastAsia="Calibri"/>
        </w:rPr>
        <w:t xml:space="preserve"> 41 % de acuerdo y 30 % en desacuerdo. Brecha de 29 puntos respecto de la meta.</w:t>
      </w:r>
    </w:p>
    <w:p>
      <w:pPr>
        <w:pStyle w:val="ListBullet"/>
        <w:spacing w:after="60"/>
      </w:pPr>
      <w:r>
        <w:rPr>
          <w:rFonts w:ascii="Calibri" w:hAnsi="Calibri" w:eastAsia="Calibri"/>
          <w:b/>
        </w:rPr>
        <w:t>Haber comprobado si el trabajo real calza con los intereses (P09):</w:t>
      </w:r>
      <w:r>
        <w:rPr>
          <w:rFonts w:ascii="Calibri" w:hAnsi="Calibri" w:eastAsia="Calibri"/>
        </w:rPr>
        <w:t xml:space="preserve"> 62 %.</w:t>
      </w:r>
    </w:p>
    <w:p>
      <w:pPr>
        <w:pStyle w:val="ListBullet"/>
        <w:spacing w:after="60"/>
      </w:pPr>
      <w:r>
        <w:rPr>
          <w:rFonts w:ascii="Calibri" w:hAnsi="Calibri" w:eastAsia="Calibri"/>
          <w:b/>
        </w:rPr>
        <w:t>Saber contactar a profesionales (P11):</w:t>
      </w:r>
      <w:r>
        <w:rPr>
          <w:rFonts w:ascii="Calibri" w:hAnsi="Calibri" w:eastAsia="Calibri"/>
        </w:rPr>
        <w:t xml:space="preserve"> 64 %; </w:t>
      </w:r>
      <w:r>
        <w:rPr>
          <w:rFonts w:ascii="Calibri" w:hAnsi="Calibri" w:eastAsia="Calibri"/>
          <w:b/>
        </w:rPr>
        <w:t>método adecuado para la empresa (P06):</w:t>
      </w:r>
      <w:r>
        <w:rPr>
          <w:rFonts w:ascii="Calibri" w:hAnsi="Calibri" w:eastAsia="Calibri"/>
        </w:rPr>
        <w:t xml:space="preserve"> 66 %.</w:t>
      </w:r>
    </w:p>
    <w:p>
      <w:pPr>
        <w:pStyle w:val="ListBullet"/>
        <w:spacing w:after="60"/>
      </w:pPr>
      <w:r>
        <w:rPr>
          <w:rFonts w:ascii="Calibri" w:hAnsi="Calibri" w:eastAsia="Calibri"/>
          <w:b/>
        </w:rPr>
        <w:t>Conocer tareas reales (P01) y exigencias de las empresas (P02):</w:t>
      </w:r>
      <w:r>
        <w:rPr>
          <w:rFonts w:ascii="Calibri" w:hAnsi="Calibri" w:eastAsia="Calibri"/>
        </w:rPr>
        <w:t xml:space="preserve"> 68 % y 69 %; </w:t>
      </w:r>
      <w:r>
        <w:rPr>
          <w:rFonts w:ascii="Calibri" w:hAnsi="Calibri" w:eastAsia="Calibri"/>
          <w:b/>
        </w:rPr>
        <w:t>explicar con claridad (P04):</w:t>
      </w:r>
      <w:r>
        <w:rPr>
          <w:rFonts w:ascii="Calibri" w:hAnsi="Calibri" w:eastAsia="Calibri"/>
        </w:rPr>
        <w:t xml:space="preserve"> 68 %; </w:t>
      </w:r>
      <w:r>
        <w:rPr>
          <w:rFonts w:ascii="Calibri" w:hAnsi="Calibri" w:eastAsia="Calibri"/>
          <w:b/>
        </w:rPr>
        <w:t>sentirse seguro/a de adaptarse (P10):</w:t>
      </w:r>
      <w:r>
        <w:rPr>
          <w:rFonts w:ascii="Calibri" w:hAnsi="Calibri" w:eastAsia="Calibri"/>
        </w:rPr>
        <w:t xml:space="preserve"> 69 %.</w:t>
      </w:r>
    </w:p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tcBorders>
              <w:top w:val="nil"/>
              <w:left w:val="single" w:sz="32" w:color="FFB800"/>
              <w:bottom w:val="nil"/>
              <w:right w:val="nil"/>
            </w:tcBorders>
            <w:shd w:val="clear" w:color="auto" w:fill="EEEEEE"/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1"/>
              </w:rPr>
              <w:t>Un patrón interesante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 xml:space="preserve">Los estudiantes se sienten </w:t>
            </w:r>
            <w:r>
              <w:rPr>
                <w:rFonts w:ascii="Calibri" w:hAnsi="Calibri" w:eastAsia="Calibri"/>
                <w:b/>
                <w:sz w:val="20"/>
              </w:rPr>
              <w:t>más capaces de actuar</w:t>
            </w:r>
            <w:r>
              <w:rPr>
                <w:rFonts w:ascii="Calibri" w:hAnsi="Calibri" w:eastAsia="Calibri"/>
                <w:sz w:val="20"/>
              </w:rPr>
              <w:t xml:space="preserve"> (resolver, dialogar, decidir, ser éticos) que </w:t>
            </w:r>
            <w:r>
              <w:rPr>
                <w:rFonts w:ascii="Calibri" w:hAnsi="Calibri" w:eastAsia="Calibri"/>
                <w:b/>
                <w:sz w:val="20"/>
              </w:rPr>
              <w:t>seguros de cómo es realmente el trabajo</w:t>
            </w:r>
            <w:r>
              <w:rPr>
                <w:rFonts w:ascii="Calibri" w:hAnsi="Calibri" w:eastAsia="Calibri"/>
                <w:sz w:val="20"/>
              </w:rPr>
              <w:t xml:space="preserve"> (conocer tareas, exigencias, contactos). Dicho simple: tienen las ganas y la actitud; les falta ver el terreno. Esa diferencia es la que más aparece también en los comentarios abiertos.</w:t>
            </w:r>
          </w:p>
        </w:tc>
      </w:tr>
    </w:tbl>
    <w:p>
      <w:pPr>
        <w:spacing w:after="200" w:line="240" w:lineRule="auto"/>
      </w:pPr>
      <w:r>
        <w:rPr>
          <w:sz w:val="8"/>
        </w:rPr>
        <w:t xml:space="preserve"> </w:t>
      </w:r>
    </w:p>
    <w:p>
      <w:pPr>
        <w:pStyle w:val="Heading3"/>
      </w:pPr>
      <w:r>
        <w:t>Las cinco dimensiones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2679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3_dimension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67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  <w:jc w:val="center"/>
      </w:pPr>
      <w:r>
        <w:rPr>
          <w:rFonts w:ascii="Calibri" w:hAnsi="Calibri" w:eastAsia="Calibri"/>
          <w:i/>
          <w:color w:val="666666"/>
          <w:sz w:val="18"/>
        </w:rPr>
        <w:t>Figura 6. Promedio de cada dimensión con su margen de error.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1696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2_caj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69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  <w:jc w:val="center"/>
      </w:pPr>
      <w:r>
        <w:rPr>
          <w:rFonts w:ascii="Calibri" w:hAnsi="Calibri" w:eastAsia="Calibri"/>
          <w:i/>
          <w:color w:val="666666"/>
          <w:sz w:val="18"/>
        </w:rPr>
        <w:t>Figura 7. Dispersión de los puntajes por dimensión.</w:t>
      </w:r>
    </w:p>
    <w:tbl>
      <w:tblPr>
        <w:tblW w:type="dxa" w:w="9355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3494"/>
        <w:gridCol w:w="1127"/>
        <w:gridCol w:w="1916"/>
        <w:gridCol w:w="1352"/>
        <w:gridCol w:w="1465"/>
      </w:tblGrid>
      <w:tr>
        <w:trPr>
          <w:tblHeader w:val="true"/>
        </w:trPr>
        <w:tc>
          <w:tcPr>
            <w:tcW w:type="dxa" w:w="3494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Dimensión</w:t>
            </w:r>
          </w:p>
        </w:tc>
        <w:tc>
          <w:tcPr>
            <w:tcW w:type="dxa" w:w="1127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Promedio</w:t>
            </w:r>
          </w:p>
        </w:tc>
        <w:tc>
          <w:tcPr>
            <w:tcW w:type="dxa" w:w="1916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Margen de error 95 %</w:t>
            </w:r>
          </w:p>
        </w:tc>
        <w:tc>
          <w:tcPr>
            <w:tcW w:type="dxa" w:w="1352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% de acuerdo</w:t>
            </w:r>
          </w:p>
        </w:tc>
        <w:tc>
          <w:tcPr>
            <w:tcW w:type="dxa" w:w="1465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Semáforo oficial</w:t>
            </w:r>
          </w:p>
        </w:tc>
      </w:tr>
      <w:tr>
        <w:trPr>
          <w:cantSplit/>
        </w:trPr>
        <w:tc>
          <w:tcPr>
            <w:tcW w:type="dxa" w:w="349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D5 · Aprender del error y ética</w:t>
            </w:r>
          </w:p>
        </w:tc>
        <w:tc>
          <w:tcPr>
            <w:tcW w:type="dxa" w:w="11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4,01</w:t>
            </w:r>
          </w:p>
        </w:tc>
        <w:tc>
          <w:tcPr>
            <w:tcW w:type="dxa" w:w="191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3,89 a 4,12</w:t>
            </w:r>
          </w:p>
        </w:tc>
        <w:tc>
          <w:tcPr>
            <w:tcW w:type="dxa" w:w="135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79 %</w:t>
            </w:r>
          </w:p>
        </w:tc>
        <w:tc>
          <w:tcPr>
            <w:tcW w:type="dxa" w:w="146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Amarillo</w:t>
            </w:r>
          </w:p>
        </w:tc>
      </w:tr>
      <w:tr>
        <w:trPr>
          <w:cantSplit/>
        </w:trPr>
        <w:tc>
          <w:tcPr>
            <w:tcW w:type="dxa" w:w="349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D3 · Autoeficacia laboral</w:t>
            </w:r>
          </w:p>
        </w:tc>
        <w:tc>
          <w:tcPr>
            <w:tcW w:type="dxa" w:w="112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3,92</w:t>
            </w:r>
          </w:p>
        </w:tc>
        <w:tc>
          <w:tcPr>
            <w:tcW w:type="dxa" w:w="1916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3,80 a 4,03</w:t>
            </w:r>
          </w:p>
        </w:tc>
        <w:tc>
          <w:tcPr>
            <w:tcW w:type="dxa" w:w="135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73 %</w:t>
            </w:r>
          </w:p>
        </w:tc>
        <w:tc>
          <w:tcPr>
            <w:tcW w:type="dxa" w:w="1465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Amarillo</w:t>
            </w:r>
          </w:p>
        </w:tc>
      </w:tr>
      <w:tr>
        <w:trPr>
          <w:cantSplit/>
        </w:trPr>
        <w:tc>
          <w:tcPr>
            <w:tcW w:type="dxa" w:w="349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D2 · Transferir lo aprendido</w:t>
            </w:r>
          </w:p>
        </w:tc>
        <w:tc>
          <w:tcPr>
            <w:tcW w:type="dxa" w:w="11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3,91</w:t>
            </w:r>
          </w:p>
        </w:tc>
        <w:tc>
          <w:tcPr>
            <w:tcW w:type="dxa" w:w="191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3,80 a 4,02</w:t>
            </w:r>
          </w:p>
        </w:tc>
        <w:tc>
          <w:tcPr>
            <w:tcW w:type="dxa" w:w="135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72 %</w:t>
            </w:r>
          </w:p>
        </w:tc>
        <w:tc>
          <w:tcPr>
            <w:tcW w:type="dxa" w:w="146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Amarillo</w:t>
            </w:r>
          </w:p>
        </w:tc>
      </w:tr>
      <w:tr>
        <w:trPr>
          <w:cantSplit/>
        </w:trPr>
        <w:tc>
          <w:tcPr>
            <w:tcW w:type="dxa" w:w="349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D1 · Conocer el rol profesional</w:t>
            </w:r>
          </w:p>
        </w:tc>
        <w:tc>
          <w:tcPr>
            <w:tcW w:type="dxa" w:w="112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3,80</w:t>
            </w:r>
          </w:p>
        </w:tc>
        <w:tc>
          <w:tcPr>
            <w:tcW w:type="dxa" w:w="1916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3,66 a 3,93</w:t>
            </w:r>
          </w:p>
        </w:tc>
        <w:tc>
          <w:tcPr>
            <w:tcW w:type="dxa" w:w="135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68 %</w:t>
            </w:r>
          </w:p>
        </w:tc>
        <w:tc>
          <w:tcPr>
            <w:tcW w:type="dxa" w:w="1465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Amarillo</w:t>
            </w:r>
          </w:p>
        </w:tc>
      </w:tr>
      <w:tr>
        <w:trPr>
          <w:cantSplit/>
        </w:trPr>
        <w:tc>
          <w:tcPr>
            <w:tcW w:type="dxa" w:w="349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D4 · Redes e interés por vincularse</w:t>
            </w:r>
          </w:p>
        </w:tc>
        <w:tc>
          <w:tcPr>
            <w:tcW w:type="dxa" w:w="112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3,72</w:t>
            </w:r>
          </w:p>
        </w:tc>
        <w:tc>
          <w:tcPr>
            <w:tcW w:type="dxa" w:w="191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3,60 a 3,83</w:t>
            </w:r>
          </w:p>
        </w:tc>
        <w:tc>
          <w:tcPr>
            <w:tcW w:type="dxa" w:w="135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61 %</w:t>
            </w:r>
          </w:p>
        </w:tc>
        <w:tc>
          <w:tcPr>
            <w:tcW w:type="dxa" w:w="146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Amarillo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p>
      <w:r>
        <w:rPr>
          <w:rFonts w:ascii="Calibri" w:hAnsi="Calibri" w:eastAsia="Calibri"/>
        </w:rPr>
        <w:t xml:space="preserve">Las cinco dimensiones quedan en el tramo </w:t>
      </w:r>
      <w:r>
        <w:rPr>
          <w:rFonts w:ascii="Calibri" w:hAnsi="Calibri" w:eastAsia="Calibri"/>
          <w:b/>
        </w:rPr>
        <w:t>amarillo</w:t>
      </w:r>
      <w:r>
        <w:rPr>
          <w:rFonts w:ascii="Calibri" w:hAnsi="Calibri" w:eastAsia="Calibri"/>
        </w:rPr>
        <w:t xml:space="preserve"> del semáforo oficial (entre 3,50 y 4,19): funcionan, pero ninguna alcanza el verde (4,20). La más alta es </w:t>
      </w:r>
      <w:r>
        <w:rPr>
          <w:rFonts w:ascii="Calibri" w:hAnsi="Calibri" w:eastAsia="Calibri"/>
          <w:b/>
        </w:rPr>
        <w:t>aprender del error y ética (D5)</w:t>
      </w:r>
      <w:r>
        <w:rPr>
          <w:rFonts w:ascii="Calibri" w:hAnsi="Calibri" w:eastAsia="Calibri"/>
        </w:rPr>
        <w:t xml:space="preserve">; la más baja, </w:t>
      </w:r>
      <w:r>
        <w:rPr>
          <w:rFonts w:ascii="Calibri" w:hAnsi="Calibri" w:eastAsia="Calibri"/>
          <w:b/>
        </w:rPr>
        <w:t>redes (D4)</w:t>
      </w:r>
      <w:r>
        <w:rPr>
          <w:rFonts w:ascii="Calibri" w:hAnsi="Calibri" w:eastAsia="Calibri"/>
        </w:rPr>
        <w:t>. Como los márgenes de error de D1, D2, D3 y D5 se traslapan, no conviene sacar conclusiones fuertes entre ellas; la que sí se separa es D4.</w:t>
      </w:r>
    </w:p>
    <w:p>
      <w:pPr>
        <w:pStyle w:val="Heading3"/>
      </w:pPr>
      <w:r>
        <w:t>Un vistazo a cada dimensión</w:t>
      </w:r>
    </w:p>
    <w:p>
      <w:pPr>
        <w:pStyle w:val="Heading4"/>
      </w:pPr>
      <w:r>
        <w:t>D1 · Conocer el rol profesional</w:t>
      </w:r>
    </w:p>
    <w:p>
      <w:r>
        <w:rPr>
          <w:rFonts w:ascii="Calibri" w:hAnsi="Calibri" w:eastAsia="Calibri"/>
        </w:rPr>
        <w:t>Promedio 3,80. Dos de cada tres estudiantes dicen conocer las tareas reales y las exigencias de las empresas. Hay un 10–12 % que se declara en desacuerdo: son estudiantes que probablemente aún no han visto una empresa «por dentro».</w:t>
      </w:r>
    </w:p>
    <w:p>
      <w:pPr>
        <w:pStyle w:val="Heading4"/>
      </w:pPr>
      <w:r>
        <w:t>D2 · Transferir lo aprendido</w:t>
      </w:r>
    </w:p>
    <w:p>
      <w:r>
        <w:rPr>
          <w:rFonts w:ascii="Calibri" w:hAnsi="Calibri" w:eastAsia="Calibri"/>
        </w:rPr>
        <w:t xml:space="preserve">Promedio 3,91. Dentro de esta dimensión hay dos mundos: </w:t>
      </w:r>
      <w:r>
        <w:rPr>
          <w:rFonts w:ascii="Calibri" w:hAnsi="Calibri" w:eastAsia="Calibri"/>
          <w:b/>
        </w:rPr>
        <w:t>confianza y aplicación</w:t>
      </w:r>
      <w:r>
        <w:rPr>
          <w:rFonts w:ascii="Calibri" w:hAnsi="Calibri" w:eastAsia="Calibri"/>
        </w:rPr>
        <w:t xml:space="preserve"> (P03: 82 %; P05: 76 %) y </w:t>
      </w:r>
      <w:r>
        <w:rPr>
          <w:rFonts w:ascii="Calibri" w:hAnsi="Calibri" w:eastAsia="Calibri"/>
          <w:b/>
        </w:rPr>
        <w:t>traducción al lenguaje de la empresa</w:t>
      </w:r>
      <w:r>
        <w:rPr>
          <w:rFonts w:ascii="Calibri" w:hAnsi="Calibri" w:eastAsia="Calibri"/>
        </w:rPr>
        <w:t xml:space="preserve"> (P04: 68 %; P06: 66 %). Sienten que saben usar lo aprendido, pero les cuesta más explicarlo y elegir el método adecuado.</w:t>
      </w:r>
    </w:p>
    <w:p>
      <w:pPr>
        <w:pStyle w:val="Heading4"/>
      </w:pPr>
      <w:r>
        <w:t>D3 · Autoeficacia laboral</w:t>
      </w:r>
    </w:p>
    <w:p>
      <w:r>
        <w:rPr>
          <w:rFonts w:ascii="Calibri" w:hAnsi="Calibri" w:eastAsia="Calibri"/>
        </w:rPr>
        <w:t>Promedio 3,92. El diálogo en equipo y la autonomía son muy fuertes (P07 y P08, 80 % o más); en cambio, haber contrastado el trabajo real con los propios intereses (P09: 62 %) y la seguridad de adaptarse (P10: 69 %) son más bajas.</w:t>
      </w:r>
    </w:p>
    <w:p>
      <w:pPr>
        <w:pStyle w:val="Heading4"/>
      </w:pPr>
      <w:r>
        <w:t>D4 · Redes e interés por vincularse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8359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6_red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35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  <w:jc w:val="center"/>
      </w:pPr>
      <w:r>
        <w:rPr>
          <w:rFonts w:ascii="Calibri" w:hAnsi="Calibri" w:eastAsia="Calibri"/>
          <w:i/>
          <w:color w:val="666666"/>
          <w:sz w:val="18"/>
        </w:rPr>
        <w:t>Figura 8. Dentro de D4: muchas ganas de vincularse, poca red construida.</w:t>
      </w:r>
    </w:p>
    <w:p>
      <w:r>
        <w:rPr>
          <w:rFonts w:ascii="Calibri" w:hAnsi="Calibri" w:eastAsia="Calibri"/>
        </w:rPr>
        <w:t xml:space="preserve">Promedio 3,72, pero este número esconde dos realidades: el </w:t>
      </w:r>
      <w:r>
        <w:rPr>
          <w:rFonts w:ascii="Calibri" w:hAnsi="Calibri" w:eastAsia="Calibri"/>
          <w:b/>
        </w:rPr>
        <w:t>interés</w:t>
      </w:r>
      <w:r>
        <w:rPr>
          <w:rFonts w:ascii="Calibri" w:hAnsi="Calibri" w:eastAsia="Calibri"/>
        </w:rPr>
        <w:t xml:space="preserve"> es altísimo (P15: 83 %) mientras que la </w:t>
      </w:r>
      <w:r>
        <w:rPr>
          <w:rFonts w:ascii="Calibri" w:hAnsi="Calibri" w:eastAsia="Calibri"/>
          <w:b/>
        </w:rPr>
        <w:t>red real</w:t>
      </w:r>
      <w:r>
        <w:rPr>
          <w:rFonts w:ascii="Calibri" w:hAnsi="Calibri" w:eastAsia="Calibri"/>
        </w:rPr>
        <w:t xml:space="preserve"> es débil (P12: 41 %). Si se miran solo las dos afirmaciones de contactos (P11 y P12), el promedio baja a 3,45.</w:t>
      </w:r>
    </w:p>
    <w:p>
      <w:pPr>
        <w:pStyle w:val="Heading4"/>
      </w:pPr>
      <w:r>
        <w:t>D5 · Aprender del error y ética</w:t>
      </w:r>
    </w:p>
    <w:p>
      <w:r>
        <w:rPr>
          <w:rFonts w:ascii="Calibri" w:hAnsi="Calibri" w:eastAsia="Calibri"/>
        </w:rPr>
        <w:t>Promedio 4,01, la dimensión más alta. 85 % prioriza la ética bajo presión y 76 % aprende de sus errores en vez de desmotivarse.</w:t>
      </w:r>
    </w:p>
    <w:p>
      <w:pPr>
        <w:pStyle w:val="Heading3"/>
      </w:pPr>
      <w:r>
        <w:t>Diferencias entre perfiles de estudiantes</w:t>
      </w:r>
    </w:p>
    <w:p>
      <w:r>
        <w:rPr>
          <w:rFonts w:ascii="Calibri" w:hAnsi="Calibri" w:eastAsia="Calibri"/>
        </w:rPr>
        <w:t xml:space="preserve">Se compararon los resultados según </w:t>
      </w:r>
      <w:r>
        <w:rPr>
          <w:rFonts w:ascii="Calibri" w:hAnsi="Calibri" w:eastAsia="Calibri"/>
          <w:b/>
        </w:rPr>
        <w:t>práctica previa</w:t>
      </w:r>
      <w:r>
        <w:rPr>
          <w:rFonts w:ascii="Calibri" w:hAnsi="Calibri" w:eastAsia="Calibri"/>
        </w:rPr>
        <w:t xml:space="preserve"> y </w:t>
      </w:r>
      <w:r>
        <w:rPr>
          <w:rFonts w:ascii="Calibri" w:hAnsi="Calibri" w:eastAsia="Calibri"/>
          <w:b/>
        </w:rPr>
        <w:t>año de estudio</w:t>
      </w:r>
      <w:r>
        <w:rPr>
          <w:rFonts w:ascii="Calibri" w:hAnsi="Calibri" w:eastAsia="Calibri"/>
        </w:rPr>
        <w:t>. Aquí solo se describe lo observado; en el Informe B se prueba si las diferencias podrían deberse al azar.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7474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6_practic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47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  <w:jc w:val="center"/>
      </w:pPr>
      <w:r>
        <w:rPr>
          <w:rFonts w:ascii="Calibri" w:hAnsi="Calibri" w:eastAsia="Calibri"/>
          <w:i/>
          <w:color w:val="666666"/>
          <w:sz w:val="18"/>
        </w:rPr>
        <w:t>Figura 9. Promedio por dimensión: estudiantes con y sin práctica previa.</w:t>
      </w:r>
    </w:p>
    <w:p>
      <w:r>
        <w:rPr>
          <w:rFonts w:ascii="Calibri" w:hAnsi="Calibri" w:eastAsia="Calibri"/>
          <w:b/>
        </w:rPr>
        <w:t>Práctica previa:</w:t>
      </w:r>
      <w:r>
        <w:rPr>
          <w:rFonts w:ascii="Calibri" w:hAnsi="Calibri" w:eastAsia="Calibri"/>
        </w:rPr>
        <w:t xml:space="preserve"> quienes la tienen puntúan más alto en las cinco dimensiones (global 3,97 vs. 3,80). La mayor distancia está en </w:t>
      </w:r>
      <w:r>
        <w:rPr>
          <w:rFonts w:ascii="Calibri" w:hAnsi="Calibri" w:eastAsia="Calibri"/>
          <w:b/>
        </w:rPr>
        <w:t>conocer el rol profesional</w:t>
      </w:r>
      <w:r>
        <w:rPr>
          <w:rFonts w:ascii="Calibri" w:hAnsi="Calibri" w:eastAsia="Calibri"/>
        </w:rPr>
        <w:t xml:space="preserve"> (+0,33) y en </w:t>
      </w:r>
      <w:r>
        <w:rPr>
          <w:rFonts w:ascii="Calibri" w:hAnsi="Calibri" w:eastAsia="Calibri"/>
          <w:b/>
        </w:rPr>
        <w:t>autoeficacia laboral</w:t>
      </w:r>
      <w:r>
        <w:rPr>
          <w:rFonts w:ascii="Calibri" w:hAnsi="Calibri" w:eastAsia="Calibri"/>
        </w:rPr>
        <w:t xml:space="preserve"> (+0,20). Se parecen en trabajo en equipo (P07), aplicación de lo aprendido (P05) y aprendizaje del error.</w:t>
      </w:r>
    </w:p>
    <w:tbl>
      <w:tblPr>
        <w:tblW w:type="dxa" w:w="9128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2948"/>
        <w:gridCol w:w="680"/>
        <w:gridCol w:w="963"/>
        <w:gridCol w:w="907"/>
        <w:gridCol w:w="907"/>
        <w:gridCol w:w="907"/>
        <w:gridCol w:w="907"/>
        <w:gridCol w:w="907"/>
      </w:tblGrid>
      <w:tr>
        <w:trPr>
          <w:tblHeader w:val="true"/>
        </w:trPr>
        <w:tc>
          <w:tcPr>
            <w:tcW w:type="dxa" w:w="2948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Tipo de práctica previa</w:t>
            </w:r>
          </w:p>
        </w:tc>
        <w:tc>
          <w:tcPr>
            <w:tcW w:type="dxa" w:w="680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n</w:t>
            </w:r>
          </w:p>
        </w:tc>
        <w:tc>
          <w:tcPr>
            <w:tcW w:type="dxa" w:w="964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Global</w:t>
            </w:r>
          </w:p>
        </w:tc>
        <w:tc>
          <w:tcPr>
            <w:tcW w:type="dxa" w:w="907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D1</w:t>
            </w:r>
          </w:p>
        </w:tc>
        <w:tc>
          <w:tcPr>
            <w:tcW w:type="dxa" w:w="907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D2</w:t>
            </w:r>
          </w:p>
        </w:tc>
        <w:tc>
          <w:tcPr>
            <w:tcW w:type="dxa" w:w="907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D3</w:t>
            </w:r>
          </w:p>
        </w:tc>
        <w:tc>
          <w:tcPr>
            <w:tcW w:type="dxa" w:w="907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D4</w:t>
            </w:r>
          </w:p>
        </w:tc>
        <w:tc>
          <w:tcPr>
            <w:tcW w:type="dxa" w:w="907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D5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Sin práctica previa</w:t>
            </w:r>
          </w:p>
        </w:tc>
        <w:tc>
          <w:tcPr>
            <w:tcW w:type="dxa" w:w="68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112</w:t>
            </w:r>
          </w:p>
        </w:tc>
        <w:tc>
          <w:tcPr>
            <w:tcW w:type="dxa" w:w="96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3,80</w:t>
            </w:r>
          </w:p>
        </w:tc>
        <w:tc>
          <w:tcPr>
            <w:tcW w:type="dxa" w:w="90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3,67</w:t>
            </w:r>
          </w:p>
        </w:tc>
        <w:tc>
          <w:tcPr>
            <w:tcW w:type="dxa" w:w="90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3,88</w:t>
            </w:r>
          </w:p>
        </w:tc>
        <w:tc>
          <w:tcPr>
            <w:tcW w:type="dxa" w:w="90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3,84</w:t>
            </w:r>
          </w:p>
        </w:tc>
        <w:tc>
          <w:tcPr>
            <w:tcW w:type="dxa" w:w="90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3,65</w:t>
            </w:r>
          </w:p>
        </w:tc>
        <w:tc>
          <w:tcPr>
            <w:tcW w:type="dxa" w:w="90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3,96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Práctica EMTP</w:t>
            </w:r>
          </w:p>
        </w:tc>
        <w:tc>
          <w:tcPr>
            <w:tcW w:type="dxa" w:w="680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44</w:t>
            </w:r>
          </w:p>
        </w:tc>
        <w:tc>
          <w:tcPr>
            <w:tcW w:type="dxa" w:w="96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3,91</w:t>
            </w:r>
          </w:p>
        </w:tc>
        <w:tc>
          <w:tcPr>
            <w:tcW w:type="dxa" w:w="90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3,91</w:t>
            </w:r>
          </w:p>
        </w:tc>
        <w:tc>
          <w:tcPr>
            <w:tcW w:type="dxa" w:w="90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3,97</w:t>
            </w:r>
          </w:p>
        </w:tc>
        <w:tc>
          <w:tcPr>
            <w:tcW w:type="dxa" w:w="90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3,97</w:t>
            </w:r>
          </w:p>
        </w:tc>
        <w:tc>
          <w:tcPr>
            <w:tcW w:type="dxa" w:w="90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3,70</w:t>
            </w:r>
          </w:p>
        </w:tc>
        <w:tc>
          <w:tcPr>
            <w:tcW w:type="dxa" w:w="90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3,98</w:t>
            </w:r>
          </w:p>
        </w:tc>
      </w:tr>
      <w:tr>
        <w:trPr>
          <w:cantSplit/>
        </w:trPr>
        <w:tc>
          <w:tcPr>
            <w:tcW w:type="dxa" w:w="294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Pasantía en la carrera</w:t>
            </w:r>
          </w:p>
        </w:tc>
        <w:tc>
          <w:tcPr>
            <w:tcW w:type="dxa" w:w="68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23</w:t>
            </w:r>
          </w:p>
        </w:tc>
        <w:tc>
          <w:tcPr>
            <w:tcW w:type="dxa" w:w="96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3,98</w:t>
            </w:r>
          </w:p>
        </w:tc>
        <w:tc>
          <w:tcPr>
            <w:tcW w:type="dxa" w:w="90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4,09</w:t>
            </w:r>
          </w:p>
        </w:tc>
        <w:tc>
          <w:tcPr>
            <w:tcW w:type="dxa" w:w="90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3,84</w:t>
            </w:r>
          </w:p>
        </w:tc>
        <w:tc>
          <w:tcPr>
            <w:tcW w:type="dxa" w:w="90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4,04</w:t>
            </w:r>
          </w:p>
        </w:tc>
        <w:tc>
          <w:tcPr>
            <w:tcW w:type="dxa" w:w="90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3,94</w:t>
            </w:r>
          </w:p>
        </w:tc>
        <w:tc>
          <w:tcPr>
            <w:tcW w:type="dxa" w:w="90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4,13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Práctica en otra carrera</w:t>
            </w:r>
          </w:p>
        </w:tc>
        <w:tc>
          <w:tcPr>
            <w:tcW w:type="dxa" w:w="680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5</w:t>
            </w:r>
          </w:p>
        </w:tc>
        <w:tc>
          <w:tcPr>
            <w:tcW w:type="dxa" w:w="964"/>
            <w:shd w:val="clear" w:color="auto" w:fill="FFB8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4,51</w:t>
            </w:r>
          </w:p>
        </w:tc>
        <w:tc>
          <w:tcPr>
            <w:tcW w:type="dxa" w:w="907"/>
            <w:shd w:val="clear" w:color="auto" w:fill="FFB8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4,40</w:t>
            </w:r>
          </w:p>
        </w:tc>
        <w:tc>
          <w:tcPr>
            <w:tcW w:type="dxa" w:w="907"/>
            <w:shd w:val="clear" w:color="auto" w:fill="FFB8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4,45</w:t>
            </w:r>
          </w:p>
        </w:tc>
        <w:tc>
          <w:tcPr>
            <w:tcW w:type="dxa" w:w="907"/>
            <w:shd w:val="clear" w:color="auto" w:fill="FFB8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4,65</w:t>
            </w:r>
          </w:p>
        </w:tc>
        <w:tc>
          <w:tcPr>
            <w:tcW w:type="dxa" w:w="907"/>
            <w:shd w:val="clear" w:color="auto" w:fill="FFB8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4,40</w:t>
            </w:r>
          </w:p>
        </w:tc>
        <w:tc>
          <w:tcPr>
            <w:tcW w:type="dxa" w:w="907"/>
            <w:shd w:val="clear" w:color="auto" w:fill="FFB8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8"/>
              </w:rPr>
              <w:t>4,60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p>
      <w:r>
        <w:rPr>
          <w:rFonts w:ascii="Calibri" w:hAnsi="Calibri" w:eastAsia="Calibri"/>
          <w:b/>
          <w:color w:val="666666"/>
          <w:sz w:val="18"/>
        </w:rPr>
        <w:t>Cuidado:</w:t>
      </w:r>
      <w:r>
        <w:rPr>
          <w:rFonts w:ascii="Calibri" w:hAnsi="Calibri" w:eastAsia="Calibri"/>
          <w:color w:val="666666"/>
          <w:sz w:val="18"/>
        </w:rPr>
        <w:t xml:space="preserve"> el grupo «otra carrera» tiene solo 5 personas; su promedio alto (4,51) no es generalizable.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5201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7_ani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0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  <w:jc w:val="center"/>
      </w:pPr>
      <w:r>
        <w:rPr>
          <w:rFonts w:ascii="Calibri" w:hAnsi="Calibri" w:eastAsia="Calibri"/>
          <w:i/>
          <w:color w:val="666666"/>
          <w:sz w:val="18"/>
        </w:rPr>
        <w:t>Figura 10. Dimensiones según año de estudio.</w:t>
      </w:r>
    </w:p>
    <w:p>
      <w:r>
        <w:rPr>
          <w:rFonts w:ascii="Calibri" w:hAnsi="Calibri" w:eastAsia="Calibri"/>
          <w:b/>
        </w:rPr>
        <w:t>Año de estudio:</w:t>
      </w:r>
      <w:r>
        <w:rPr>
          <w:rFonts w:ascii="Calibri" w:hAnsi="Calibri" w:eastAsia="Calibri"/>
        </w:rPr>
        <w:t xml:space="preserve"> no hay una «escalera» que suba semestre a semestre. El grupo de 3.º–4.º semestre es el que puntúa más bajo (global 3,76) y quienes están en 5.º semestre o más puntúan más alto (3,99), sobre todo en conocer el rol (D1: 4,06) y en ética y error (D5: 4,24). Una posible lectura es que el segundo año es un «valle» entre el entusiasmo inicial y el contacto real con la práctica ([INTERPRETACIÓN]).</w:t>
      </w:r>
    </w:p>
    <w:p>
      <w:pPr>
        <w:pStyle w:val="Heading4"/>
      </w:pPr>
      <w:r>
        <w:t>Detalle por afirmación y perfil (promedios)</w:t>
      </w:r>
    </w:p>
    <w:tbl>
      <w:tblPr>
        <w:tblW w:type="dxa" w:w="9355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563"/>
        <w:gridCol w:w="3888"/>
        <w:gridCol w:w="901"/>
        <w:gridCol w:w="901"/>
        <w:gridCol w:w="1014"/>
        <w:gridCol w:w="1014"/>
        <w:gridCol w:w="1070"/>
      </w:tblGrid>
      <w:tr>
        <w:trPr>
          <w:tblHeader w:val="true"/>
        </w:trPr>
        <w:tc>
          <w:tcPr>
            <w:tcW w:type="dxa" w:w="564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3888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Afirmación</w:t>
            </w:r>
          </w:p>
        </w:tc>
        <w:tc>
          <w:tcPr>
            <w:tcW w:type="dxa" w:w="902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1.º–2.º</w:t>
            </w:r>
          </w:p>
        </w:tc>
        <w:tc>
          <w:tcPr>
            <w:tcW w:type="dxa" w:w="902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3.º–4.º</w:t>
            </w:r>
          </w:p>
        </w:tc>
        <w:tc>
          <w:tcPr>
            <w:tcW w:type="dxa" w:w="1014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5.º o más</w:t>
            </w:r>
          </w:p>
        </w:tc>
        <w:tc>
          <w:tcPr>
            <w:tcW w:type="dxa" w:w="1014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Sin prác.</w:t>
            </w:r>
          </w:p>
        </w:tc>
        <w:tc>
          <w:tcPr>
            <w:tcW w:type="dxa" w:w="1071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Con prác.</w:t>
            </w:r>
          </w:p>
        </w:tc>
      </w:tr>
      <w:tr>
        <w:trPr>
          <w:cantSplit/>
        </w:trPr>
        <w:tc>
          <w:tcPr>
            <w:tcW w:type="dxa" w:w="5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P01</w:t>
            </w:r>
          </w:p>
        </w:tc>
        <w:tc>
          <w:tcPr>
            <w:tcW w:type="dxa" w:w="38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Conozco las tareas y condiciones reales de trabajo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3,65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3,70</w:t>
            </w:r>
          </w:p>
        </w:tc>
        <w:tc>
          <w:tcPr>
            <w:tcW w:type="dxa" w:w="101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4,08</w:t>
            </w:r>
          </w:p>
        </w:tc>
        <w:tc>
          <w:tcPr>
            <w:tcW w:type="dxa" w:w="101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3,63</w:t>
            </w:r>
          </w:p>
        </w:tc>
        <w:tc>
          <w:tcPr>
            <w:tcW w:type="dxa" w:w="10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4,01</w:t>
            </w:r>
          </w:p>
        </w:tc>
      </w:tr>
      <w:tr>
        <w:trPr>
          <w:cantSplit/>
        </w:trPr>
        <w:tc>
          <w:tcPr>
            <w:tcW w:type="dxa" w:w="56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P02</w:t>
            </w:r>
          </w:p>
        </w:tc>
        <w:tc>
          <w:tcPr>
            <w:tcW w:type="dxa" w:w="388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Tengo claras las exigencias de las empresas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3,74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3,70</w:t>
            </w:r>
          </w:p>
        </w:tc>
        <w:tc>
          <w:tcPr>
            <w:tcW w:type="dxa" w:w="101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4,04</w:t>
            </w:r>
          </w:p>
        </w:tc>
        <w:tc>
          <w:tcPr>
            <w:tcW w:type="dxa" w:w="101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3,70</w:t>
            </w:r>
          </w:p>
        </w:tc>
        <w:tc>
          <w:tcPr>
            <w:tcW w:type="dxa" w:w="10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3,99</w:t>
            </w:r>
          </w:p>
        </w:tc>
      </w:tr>
      <w:tr>
        <w:trPr>
          <w:cantSplit/>
        </w:trPr>
        <w:tc>
          <w:tcPr>
            <w:tcW w:type="dxa" w:w="5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P03</w:t>
            </w:r>
          </w:p>
        </w:tc>
        <w:tc>
          <w:tcPr>
            <w:tcW w:type="dxa" w:w="38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Confío en resolver una tarea nueva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4,15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3,93</w:t>
            </w:r>
          </w:p>
        </w:tc>
        <w:tc>
          <w:tcPr>
            <w:tcW w:type="dxa" w:w="1014"/>
            <w:shd w:val="clear" w:color="auto" w:fill="FFB8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4,31</w:t>
            </w:r>
          </w:p>
        </w:tc>
        <w:tc>
          <w:tcPr>
            <w:tcW w:type="dxa" w:w="101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4,08</w:t>
            </w:r>
          </w:p>
        </w:tc>
        <w:tc>
          <w:tcPr>
            <w:tcW w:type="dxa" w:w="1071"/>
            <w:shd w:val="clear" w:color="auto" w:fill="FFB8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4,24</w:t>
            </w:r>
          </w:p>
        </w:tc>
      </w:tr>
      <w:tr>
        <w:trPr>
          <w:cantSplit/>
        </w:trPr>
        <w:tc>
          <w:tcPr>
            <w:tcW w:type="dxa" w:w="56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P04</w:t>
            </w:r>
          </w:p>
        </w:tc>
        <w:tc>
          <w:tcPr>
            <w:tcW w:type="dxa" w:w="388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Explico temas técnicos con claridad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3,83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3,79</w:t>
            </w:r>
          </w:p>
        </w:tc>
        <w:tc>
          <w:tcPr>
            <w:tcW w:type="dxa" w:w="101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3,65</w:t>
            </w:r>
          </w:p>
        </w:tc>
        <w:tc>
          <w:tcPr>
            <w:tcW w:type="dxa" w:w="101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3,78</w:t>
            </w:r>
          </w:p>
        </w:tc>
        <w:tc>
          <w:tcPr>
            <w:tcW w:type="dxa" w:w="10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3,75</w:t>
            </w:r>
          </w:p>
        </w:tc>
      </w:tr>
      <w:tr>
        <w:trPr>
          <w:cantSplit/>
        </w:trPr>
        <w:tc>
          <w:tcPr>
            <w:tcW w:type="dxa" w:w="5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P05</w:t>
            </w:r>
          </w:p>
        </w:tc>
        <w:tc>
          <w:tcPr>
            <w:tcW w:type="dxa" w:w="38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Aplico lo de clases a casos reales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3,98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3,84</w:t>
            </w:r>
          </w:p>
        </w:tc>
        <w:tc>
          <w:tcPr>
            <w:tcW w:type="dxa" w:w="101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3,92</w:t>
            </w:r>
          </w:p>
        </w:tc>
        <w:tc>
          <w:tcPr>
            <w:tcW w:type="dxa" w:w="101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3,94</w:t>
            </w:r>
          </w:p>
        </w:tc>
        <w:tc>
          <w:tcPr>
            <w:tcW w:type="dxa" w:w="10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3,92</w:t>
            </w:r>
          </w:p>
        </w:tc>
      </w:tr>
      <w:tr>
        <w:trPr>
          <w:cantSplit/>
        </w:trPr>
        <w:tc>
          <w:tcPr>
            <w:tcW w:type="dxa" w:w="56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P06</w:t>
            </w:r>
          </w:p>
        </w:tc>
        <w:tc>
          <w:tcPr>
            <w:tcW w:type="dxa" w:w="388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Sé qué método sirve en la empresa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3,78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3,66</w:t>
            </w:r>
          </w:p>
        </w:tc>
        <w:tc>
          <w:tcPr>
            <w:tcW w:type="dxa" w:w="101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3,88</w:t>
            </w:r>
          </w:p>
        </w:tc>
        <w:tc>
          <w:tcPr>
            <w:tcW w:type="dxa" w:w="101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3,69</w:t>
            </w:r>
          </w:p>
        </w:tc>
        <w:tc>
          <w:tcPr>
            <w:tcW w:type="dxa" w:w="10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3,93</w:t>
            </w:r>
          </w:p>
        </w:tc>
      </w:tr>
      <w:tr>
        <w:trPr>
          <w:cantSplit/>
        </w:trPr>
        <w:tc>
          <w:tcPr>
            <w:tcW w:type="dxa" w:w="5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P07</w:t>
            </w:r>
          </w:p>
        </w:tc>
        <w:tc>
          <w:tcPr>
            <w:tcW w:type="dxa" w:w="38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Dialogo y logro acuerdos en equipo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4,12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4,00</w:t>
            </w:r>
          </w:p>
        </w:tc>
        <w:tc>
          <w:tcPr>
            <w:tcW w:type="dxa" w:w="1014"/>
            <w:shd w:val="clear" w:color="auto" w:fill="FFB8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4,29</w:t>
            </w:r>
          </w:p>
        </w:tc>
        <w:tc>
          <w:tcPr>
            <w:tcW w:type="dxa" w:w="101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4,15</w:t>
            </w:r>
          </w:p>
        </w:tc>
        <w:tc>
          <w:tcPr>
            <w:tcW w:type="dxa" w:w="10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4,14</w:t>
            </w:r>
          </w:p>
        </w:tc>
      </w:tr>
      <w:tr>
        <w:trPr>
          <w:cantSplit/>
        </w:trPr>
        <w:tc>
          <w:tcPr>
            <w:tcW w:type="dxa" w:w="56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P08</w:t>
            </w:r>
          </w:p>
        </w:tc>
        <w:tc>
          <w:tcPr>
            <w:tcW w:type="dxa" w:w="388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Sé cuándo actuar solo/a y cuándo consultar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3,99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3,71</w:t>
            </w:r>
          </w:p>
        </w:tc>
        <w:tc>
          <w:tcPr>
            <w:tcW w:type="dxa" w:w="1014"/>
            <w:shd w:val="clear" w:color="auto" w:fill="FFB8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4,29</w:t>
            </w:r>
          </w:p>
        </w:tc>
        <w:tc>
          <w:tcPr>
            <w:tcW w:type="dxa" w:w="101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3,90</w:t>
            </w:r>
          </w:p>
        </w:tc>
        <w:tc>
          <w:tcPr>
            <w:tcW w:type="dxa" w:w="10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4,18</w:t>
            </w:r>
          </w:p>
        </w:tc>
      </w:tr>
      <w:tr>
        <w:trPr>
          <w:cantSplit/>
        </w:trPr>
        <w:tc>
          <w:tcPr>
            <w:tcW w:type="dxa" w:w="5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P09</w:t>
            </w:r>
          </w:p>
        </w:tc>
        <w:tc>
          <w:tcPr>
            <w:tcW w:type="dxa" w:w="38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He comprobado si el trabajo real calza con mis intereses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3,74</w:t>
            </w:r>
          </w:p>
        </w:tc>
        <w:tc>
          <w:tcPr>
            <w:tcW w:type="dxa" w:w="902"/>
            <w:shd w:val="clear" w:color="auto" w:fill="6666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3,41</w:t>
            </w:r>
          </w:p>
        </w:tc>
        <w:tc>
          <w:tcPr>
            <w:tcW w:type="dxa" w:w="101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3,80</w:t>
            </w:r>
          </w:p>
        </w:tc>
        <w:tc>
          <w:tcPr>
            <w:tcW w:type="dxa" w:w="101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3,55</w:t>
            </w:r>
          </w:p>
        </w:tc>
        <w:tc>
          <w:tcPr>
            <w:tcW w:type="dxa" w:w="10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3,88</w:t>
            </w:r>
          </w:p>
        </w:tc>
      </w:tr>
      <w:tr>
        <w:trPr>
          <w:cantSplit/>
        </w:trPr>
        <w:tc>
          <w:tcPr>
            <w:tcW w:type="dxa" w:w="56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P10</w:t>
            </w:r>
          </w:p>
        </w:tc>
        <w:tc>
          <w:tcPr>
            <w:tcW w:type="dxa" w:w="388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Me siento seguro/a de adaptarme a un puesto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3,80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3,86</w:t>
            </w:r>
          </w:p>
        </w:tc>
        <w:tc>
          <w:tcPr>
            <w:tcW w:type="dxa" w:w="101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3,82</w:t>
            </w:r>
          </w:p>
        </w:tc>
        <w:tc>
          <w:tcPr>
            <w:tcW w:type="dxa" w:w="101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3,72</w:t>
            </w:r>
          </w:p>
        </w:tc>
        <w:tc>
          <w:tcPr>
            <w:tcW w:type="dxa" w:w="10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3,97</w:t>
            </w:r>
          </w:p>
        </w:tc>
      </w:tr>
      <w:tr>
        <w:trPr>
          <w:cantSplit/>
        </w:trPr>
        <w:tc>
          <w:tcPr>
            <w:tcW w:type="dxa" w:w="5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P11</w:t>
            </w:r>
          </w:p>
        </w:tc>
        <w:tc>
          <w:tcPr>
            <w:tcW w:type="dxa" w:w="38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Sé cómo contactar a profesionales del sector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3,70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3,83</w:t>
            </w:r>
          </w:p>
        </w:tc>
        <w:tc>
          <w:tcPr>
            <w:tcW w:type="dxa" w:w="101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3,76</w:t>
            </w:r>
          </w:p>
        </w:tc>
        <w:tc>
          <w:tcPr>
            <w:tcW w:type="dxa" w:w="101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3,65</w:t>
            </w:r>
          </w:p>
        </w:tc>
        <w:tc>
          <w:tcPr>
            <w:tcW w:type="dxa" w:w="10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3,90</w:t>
            </w:r>
          </w:p>
        </w:tc>
      </w:tr>
      <w:tr>
        <w:trPr>
          <w:cantSplit/>
        </w:trPr>
        <w:tc>
          <w:tcPr>
            <w:tcW w:type="dxa" w:w="56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P12</w:t>
            </w:r>
          </w:p>
        </w:tc>
        <w:tc>
          <w:tcPr>
            <w:tcW w:type="dxa" w:w="388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Tengo una red de contactos referentes</w:t>
            </w:r>
          </w:p>
        </w:tc>
        <w:tc>
          <w:tcPr>
            <w:tcW w:type="dxa" w:w="902"/>
            <w:shd w:val="clear" w:color="auto" w:fill="6666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3,08</w:t>
            </w:r>
          </w:p>
        </w:tc>
        <w:tc>
          <w:tcPr>
            <w:tcW w:type="dxa" w:w="902"/>
            <w:shd w:val="clear" w:color="auto" w:fill="6666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3,27</w:t>
            </w:r>
          </w:p>
        </w:tc>
        <w:tc>
          <w:tcPr>
            <w:tcW w:type="dxa" w:w="1014"/>
            <w:shd w:val="clear" w:color="auto" w:fill="6666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3,12</w:t>
            </w:r>
          </w:p>
        </w:tc>
        <w:tc>
          <w:tcPr>
            <w:tcW w:type="dxa" w:w="1014"/>
            <w:shd w:val="clear" w:color="auto" w:fill="6666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3,03</w:t>
            </w:r>
          </w:p>
        </w:tc>
        <w:tc>
          <w:tcPr>
            <w:tcW w:type="dxa" w:w="1071"/>
            <w:shd w:val="clear" w:color="auto" w:fill="6666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3,30</w:t>
            </w:r>
          </w:p>
        </w:tc>
      </w:tr>
      <w:tr>
        <w:trPr>
          <w:cantSplit/>
        </w:trPr>
        <w:tc>
          <w:tcPr>
            <w:tcW w:type="dxa" w:w="5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P13</w:t>
            </w:r>
          </w:p>
        </w:tc>
        <w:tc>
          <w:tcPr>
            <w:tcW w:type="dxa" w:w="38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Aprendo de mis errores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3,89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3,90</w:t>
            </w:r>
          </w:p>
        </w:tc>
        <w:tc>
          <w:tcPr>
            <w:tcW w:type="dxa" w:w="101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4,16</w:t>
            </w:r>
          </w:p>
        </w:tc>
        <w:tc>
          <w:tcPr>
            <w:tcW w:type="dxa" w:w="101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3,95</w:t>
            </w:r>
          </w:p>
        </w:tc>
        <w:tc>
          <w:tcPr>
            <w:tcW w:type="dxa" w:w="10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3,99</w:t>
            </w:r>
          </w:p>
        </w:tc>
      </w:tr>
      <w:tr>
        <w:trPr>
          <w:cantSplit/>
        </w:trPr>
        <w:tc>
          <w:tcPr>
            <w:tcW w:type="dxa" w:w="56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P14</w:t>
            </w:r>
          </w:p>
        </w:tc>
        <w:tc>
          <w:tcPr>
            <w:tcW w:type="dxa" w:w="388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Priorizo la ética bajo presión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3,93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3,92</w:t>
            </w:r>
          </w:p>
        </w:tc>
        <w:tc>
          <w:tcPr>
            <w:tcW w:type="dxa" w:w="1014"/>
            <w:shd w:val="clear" w:color="auto" w:fill="FFB8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4,31</w:t>
            </w:r>
          </w:p>
        </w:tc>
        <w:tc>
          <w:tcPr>
            <w:tcW w:type="dxa" w:w="101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3,96</w:t>
            </w:r>
          </w:p>
        </w:tc>
        <w:tc>
          <w:tcPr>
            <w:tcW w:type="dxa" w:w="1071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4,15</w:t>
            </w:r>
          </w:p>
        </w:tc>
      </w:tr>
      <w:tr>
        <w:trPr>
          <w:cantSplit/>
        </w:trPr>
        <w:tc>
          <w:tcPr>
            <w:tcW w:type="dxa" w:w="5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7"/>
              </w:rPr>
              <w:t>P15</w:t>
            </w:r>
          </w:p>
        </w:tc>
        <w:tc>
          <w:tcPr>
            <w:tcW w:type="dxa" w:w="38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Quiero participar en proyectos con empresas reales</w:t>
            </w:r>
          </w:p>
        </w:tc>
        <w:tc>
          <w:tcPr>
            <w:tcW w:type="dxa" w:w="902"/>
            <w:shd w:val="clear" w:color="auto" w:fill="FFB8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4,23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4,07</w:t>
            </w:r>
          </w:p>
        </w:tc>
        <w:tc>
          <w:tcPr>
            <w:tcW w:type="dxa" w:w="1014"/>
            <w:shd w:val="clear" w:color="auto" w:fill="FFB8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4,41</w:t>
            </w:r>
          </w:p>
        </w:tc>
        <w:tc>
          <w:tcPr>
            <w:tcW w:type="dxa" w:w="1014"/>
            <w:shd w:val="clear" w:color="auto" w:fill="FFB8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4,23</w:t>
            </w:r>
          </w:p>
        </w:tc>
        <w:tc>
          <w:tcPr>
            <w:tcW w:type="dxa" w:w="1071"/>
            <w:shd w:val="clear" w:color="auto" w:fill="FFB8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7"/>
              </w:rPr>
              <w:t>4,26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p>
      <w:r>
        <w:rPr>
          <w:rFonts w:ascii="Calibri" w:hAnsi="Calibri" w:eastAsia="Calibri"/>
          <w:color w:val="666666"/>
          <w:sz w:val="18"/>
        </w:rPr>
        <w:t>Relleno: amarillo ≥ 4,20 · gris claro 3,50–4,19 · gris oscuro &lt; 3,50. La red de contactos (P12) es la única fila que se mantiene amarilla o más baja en todos los perfiles.</w:t>
      </w:r>
    </w:p>
    <w:p>
      <w:pPr>
        <w:pStyle w:val="Heading3"/>
      </w:pPr>
      <w:r>
        <w:t>Semáforo oficial por estudiante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74019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2_semaforo_ofici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40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  <w:jc w:val="center"/>
      </w:pPr>
      <w:r>
        <w:rPr>
          <w:rFonts w:ascii="Calibri" w:hAnsi="Calibri" w:eastAsia="Calibri"/>
          <w:i/>
          <w:color w:val="666666"/>
          <w:sz w:val="18"/>
        </w:rPr>
        <w:t>Figura 11. Clasificación de cada estudiante según el semáforo del Informe Metodológico.</w:t>
      </w:r>
    </w:p>
    <w:p>
      <w:r>
        <w:rPr>
          <w:rFonts w:ascii="Calibri" w:hAnsi="Calibri" w:eastAsia="Calibri"/>
        </w:rPr>
        <w:t xml:space="preserve">Con los cortes oficiales (verde ≥ 4,20; rojo &lt; 3,50), </w:t>
      </w:r>
      <w:r>
        <w:rPr>
          <w:rFonts w:ascii="Calibri" w:hAnsi="Calibri" w:eastAsia="Calibri"/>
          <w:b/>
        </w:rPr>
        <w:t>59 estudiantes (32 %) quedan en verde, 87 (47 %) en amarillo y 38 (21 %) en rojo</w:t>
      </w:r>
      <w:r>
        <w:rPr>
          <w:rFonts w:ascii="Calibri" w:hAnsi="Calibri" w:eastAsia="Calibri"/>
        </w:rPr>
        <w:t>. Estos 38 estudiantes en rojo son el grupo que, según el diseño del proyecto, requeriría nivelación focalizada antes de su práctica. Entre quienes ya hicieron práctica, el rojo es 14 %; entre quienes no, 25 %.</w:t>
      </w:r>
    </w:p>
    <w:p>
      <w:pPr>
        <w:pStyle w:val="Heading2"/>
        <w:pBdr>
          <w:left w:val="single" w:sz="28" w:space="8" w:color="FFB800"/>
        </w:pBdr>
      </w:pPr>
      <w:r>
        <w:t>2.4 Lo que dicen los estudiantes con sus propias palabras</w:t>
      </w:r>
    </w:p>
    <w:p>
      <w:r>
        <w:rPr>
          <w:rFonts w:ascii="Calibri" w:hAnsi="Calibri" w:eastAsia="Calibri"/>
        </w:rPr>
        <w:t xml:space="preserve">Respondieron la pregunta abierta sobre aprendizaje </w:t>
      </w:r>
      <w:r>
        <w:rPr>
          <w:rFonts w:ascii="Calibri" w:hAnsi="Calibri" w:eastAsia="Calibri"/>
          <w:b/>
        </w:rPr>
        <w:t>142 personas</w:t>
      </w:r>
      <w:r>
        <w:rPr>
          <w:rFonts w:ascii="Calibri" w:hAnsi="Calibri" w:eastAsia="Calibri"/>
        </w:rPr>
        <w:t xml:space="preserve"> (77 %) y la pregunta sobre apoyo institucional </w:t>
      </w:r>
      <w:r>
        <w:rPr>
          <w:rFonts w:ascii="Calibri" w:hAnsi="Calibri" w:eastAsia="Calibri"/>
          <w:b/>
        </w:rPr>
        <w:t>136</w:t>
      </w:r>
      <w:r>
        <w:rPr>
          <w:rFonts w:ascii="Calibri" w:hAnsi="Calibri" w:eastAsia="Calibri"/>
        </w:rPr>
        <w:t xml:space="preserve"> (74 %). Las respuestas se agruparon por temas (análisis temático; Braun y Clarke, 2006) con ayuda de IA; una respuesta puede tocar varios temas. Es una lectura preliminar que debe ser revisada por una persona.</w:t>
      </w:r>
    </w:p>
    <w:p>
      <w:pPr>
        <w:pStyle w:val="Heading3"/>
      </w:pPr>
      <w:r>
        <w:t>¿Cuál ha sido tu aprendizaje más valioso?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80873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0_abi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08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  <w:jc w:val="center"/>
      </w:pPr>
      <w:r>
        <w:rPr>
          <w:rFonts w:ascii="Calibri" w:hAnsi="Calibri" w:eastAsia="Calibri"/>
          <w:i/>
          <w:color w:val="666666"/>
          <w:sz w:val="18"/>
        </w:rPr>
        <w:t>Figura 12. Temas del aprendizaje más valioso (n = 142).</w:t>
      </w:r>
    </w:p>
    <w:p>
      <w:pPr>
        <w:pStyle w:val="ListBullet"/>
        <w:spacing w:after="60"/>
      </w:pPr>
      <w:r>
        <w:rPr>
          <w:rFonts w:ascii="Calibri" w:hAnsi="Calibri" w:eastAsia="Calibri"/>
          <w:b/>
        </w:rPr>
        <w:t>Habilidades blandas (32 menciones):</w:t>
      </w:r>
      <w:r>
        <w:rPr>
          <w:rFonts w:ascii="Calibri" w:hAnsi="Calibri" w:eastAsia="Calibri"/>
        </w:rPr>
        <w:t xml:space="preserve"> trabajo en equipo, comunicación, responsabilidad, adaptación. Es el tema más frecuente.</w:t>
      </w:r>
    </w:p>
    <w:p>
      <w:pPr>
        <w:pStyle w:val="ListBullet"/>
        <w:spacing w:after="60"/>
      </w:pPr>
      <w:r>
        <w:rPr>
          <w:rFonts w:ascii="Calibri" w:hAnsi="Calibri" w:eastAsia="Calibri"/>
          <w:b/>
        </w:rPr>
        <w:t>Conocimiento técnico (29):</w:t>
      </w:r>
      <w:r>
        <w:rPr>
          <w:rFonts w:ascii="Calibri" w:hAnsi="Calibri" w:eastAsia="Calibri"/>
        </w:rPr>
        <w:t xml:space="preserve"> finanzas, logística, comercio exterior, marketing, remuneraciones.</w:t>
      </w:r>
    </w:p>
    <w:p>
      <w:pPr>
        <w:pStyle w:val="ListBullet"/>
        <w:spacing w:after="60"/>
      </w:pPr>
      <w:r>
        <w:rPr>
          <w:rFonts w:ascii="Calibri" w:hAnsi="Calibri" w:eastAsia="Calibri"/>
          <w:b/>
        </w:rPr>
        <w:t>Más claridad sobre el campo laboral (20):</w:t>
      </w:r>
      <w:r>
        <w:rPr>
          <w:rFonts w:ascii="Calibri" w:hAnsi="Calibri" w:eastAsia="Calibri"/>
        </w:rPr>
        <w:t xml:space="preserve"> «hay muchas áreas en las que puede trabajar», «voy encaminada hacia algo que realmente quiero ejercer».</w:t>
      </w:r>
    </w:p>
    <w:p>
      <w:pPr>
        <w:pStyle w:val="ListBullet"/>
        <w:spacing w:after="60"/>
      </w:pPr>
      <w:r>
        <w:rPr>
          <w:rFonts w:ascii="Calibri" w:hAnsi="Calibri" w:eastAsia="Calibri"/>
          <w:b/>
        </w:rPr>
        <w:t>Ética, inclusión y normativa (14):</w:t>
      </w:r>
      <w:r>
        <w:rPr>
          <w:rFonts w:ascii="Calibri" w:hAnsi="Calibri" w:eastAsia="Calibri"/>
        </w:rPr>
        <w:t xml:space="preserve"> destaca la inclusión de personas con discapacidad y la diversidad.</w:t>
      </w:r>
    </w:p>
    <w:p>
      <w:pPr>
        <w:pStyle w:val="ListBullet"/>
        <w:spacing w:after="60"/>
      </w:pPr>
      <w:r>
        <w:rPr>
          <w:rFonts w:ascii="Calibri" w:hAnsi="Calibri" w:eastAsia="Calibri"/>
          <w:b/>
        </w:rPr>
        <w:t>Sin aprendizaje claro (15):</w:t>
      </w:r>
      <w:r>
        <w:rPr>
          <w:rFonts w:ascii="Calibri" w:hAnsi="Calibri" w:eastAsia="Calibri"/>
        </w:rPr>
        <w:t xml:space="preserve"> de ellas, 13 son estudiantes sin práctica previa. Dicen cosas como «no he tenido experiencia laboral, no sabría si tengo algún aprendizaje».</w:t>
      </w:r>
    </w:p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tcBorders>
              <w:top w:val="nil"/>
              <w:left w:val="single" w:sz="32" w:color="FFB800"/>
              <w:bottom w:val="nil"/>
              <w:right w:val="nil"/>
            </w:tcBorders>
            <w:shd w:val="clear" w:color="auto" w:fill="EEEEEE"/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1"/>
              </w:rPr>
              <w:t>En sus palabras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«Lo más valioso que aprendí es que en el trabajo no solo importa saber hacer las cosas, sino también saber comunicarse, trabajar en equipo y tener buena disposición para aprender.»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«Entender que los problemas en el trabajo no son las personas, son del diseño de trabajo.»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«Podría ser que no siempre lo que se enseña en la teoría es lo que se aplica en la realidad. Por ejemplo, en mi práctica participé en procesos de reclutamiento y selección en donde la utilización de descriptores de cargo era casi nula…»</w:t>
            </w:r>
          </w:p>
        </w:tc>
      </w:tr>
    </w:tbl>
    <w:p>
      <w:pPr>
        <w:spacing w:after="200" w:line="240" w:lineRule="auto"/>
      </w:pPr>
      <w:r>
        <w:rPr>
          <w:sz w:val="8"/>
        </w:rPr>
        <w:t xml:space="preserve"> </w:t>
      </w:r>
    </w:p>
    <w:p>
      <w:pPr>
        <w:pStyle w:val="Heading3"/>
      </w:pPr>
      <w:r>
        <w:t>¿Qué apoyo debería incorporar la institución antes de la práctica?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84044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1_abi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40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  <w:jc w:val="center"/>
      </w:pPr>
      <w:r>
        <w:rPr>
          <w:rFonts w:ascii="Calibri" w:hAnsi="Calibri" w:eastAsia="Calibri"/>
          <w:i/>
          <w:color w:val="666666"/>
          <w:sz w:val="18"/>
        </w:rPr>
        <w:t>Figura 13. Temas del apoyo solicitado (n = 136).</w:t>
      </w:r>
    </w:p>
    <w:p>
      <w:pPr>
        <w:pStyle w:val="ListBullet"/>
        <w:spacing w:after="60"/>
      </w:pPr>
      <w:r>
        <w:rPr>
          <w:rFonts w:ascii="Calibri" w:hAnsi="Calibri" w:eastAsia="Calibri"/>
          <w:b/>
        </w:rPr>
        <w:t>Simulaciones, casos reales y práctica aplicada (31):</w:t>
      </w:r>
      <w:r>
        <w:rPr>
          <w:rFonts w:ascii="Calibri" w:hAnsi="Calibri" w:eastAsia="Calibri"/>
        </w:rPr>
        <w:t xml:space="preserve"> lo más pedido. «…simular una práctica de una empresa con el fin de que el alumno sepa a lo que se va a enfrentar».</w:t>
      </w:r>
    </w:p>
    <w:p>
      <w:pPr>
        <w:pStyle w:val="ListBullet"/>
        <w:spacing w:after="60"/>
      </w:pPr>
      <w:r>
        <w:rPr>
          <w:rFonts w:ascii="Calibri" w:hAnsi="Calibri" w:eastAsia="Calibri"/>
          <w:b/>
        </w:rPr>
        <w:t>Comunicación, oratoria y habilidades blandas (22):</w:t>
      </w:r>
      <w:r>
        <w:rPr>
          <w:rFonts w:ascii="Calibri" w:hAnsi="Calibri" w:eastAsia="Calibri"/>
        </w:rPr>
        <w:t xml:space="preserve"> hablar en público, escucha activa, liderazgo, presentación personal.</w:t>
      </w:r>
    </w:p>
    <w:p>
      <w:pPr>
        <w:pStyle w:val="ListBullet"/>
        <w:spacing w:after="60"/>
      </w:pPr>
      <w:r>
        <w:rPr>
          <w:rFonts w:ascii="Calibri" w:hAnsi="Calibri" w:eastAsia="Calibri"/>
          <w:b/>
        </w:rPr>
        <w:t>Inglés y otros idiomas (20):</w:t>
      </w:r>
      <w:r>
        <w:rPr>
          <w:rFonts w:ascii="Calibri" w:hAnsi="Calibri" w:eastAsia="Calibri"/>
        </w:rPr>
        <w:t xml:space="preserve"> aparece con insistencia; algunos señalan que su malla no incluye un ramo de inglés.</w:t>
      </w:r>
    </w:p>
    <w:p>
      <w:pPr>
        <w:pStyle w:val="ListBullet"/>
        <w:spacing w:after="60"/>
      </w:pPr>
      <w:r>
        <w:rPr>
          <w:rFonts w:ascii="Calibri" w:hAnsi="Calibri" w:eastAsia="Calibri"/>
          <w:b/>
        </w:rPr>
        <w:t>Preparación para la práctica y el empleo (19):</w:t>
      </w:r>
      <w:r>
        <w:rPr>
          <w:rFonts w:ascii="Calibri" w:hAnsi="Calibri" w:eastAsia="Calibri"/>
        </w:rPr>
        <w:t xml:space="preserve"> entrevistas, currículum, LinkedIn, inducción, ayudantías para buscar práctica.</w:t>
      </w:r>
    </w:p>
    <w:p>
      <w:pPr>
        <w:pStyle w:val="ListBullet"/>
        <w:spacing w:after="60"/>
      </w:pPr>
      <w:r>
        <w:rPr>
          <w:rFonts w:ascii="Calibri" w:hAnsi="Calibri" w:eastAsia="Calibri"/>
          <w:b/>
        </w:rPr>
        <w:t>Software y herramientas reales (19):</w:t>
      </w:r>
      <w:r>
        <w:rPr>
          <w:rFonts w:ascii="Calibri" w:hAnsi="Calibri" w:eastAsia="Calibri"/>
        </w:rPr>
        <w:t xml:space="preserve"> SAP, Softland, Excel avanzado, Power BI, Python.</w:t>
      </w:r>
    </w:p>
    <w:p>
      <w:pPr>
        <w:pStyle w:val="ListBullet"/>
        <w:spacing w:after="60"/>
      </w:pPr>
      <w:r>
        <w:rPr>
          <w:rFonts w:ascii="Calibri" w:hAnsi="Calibri" w:eastAsia="Calibri"/>
          <w:b/>
        </w:rPr>
        <w:t>Salidas a terreno, visitas y ferias (16):</w:t>
      </w:r>
      <w:r>
        <w:rPr>
          <w:rFonts w:ascii="Calibri" w:hAnsi="Calibri" w:eastAsia="Calibri"/>
        </w:rPr>
        <w:t xml:space="preserve"> visitar puertos, centros de distribución, bodegas y ferias laborales.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 xml:space="preserve">Temas menos frecuentes pero relevantes: </w:t>
      </w:r>
      <w:r>
        <w:rPr>
          <w:rFonts w:ascii="Calibri" w:hAnsi="Calibri" w:eastAsia="Calibri"/>
          <w:b/>
        </w:rPr>
        <w:t>legislación laboral y remuneraciones</w:t>
      </w:r>
      <w:r>
        <w:rPr>
          <w:rFonts w:ascii="Calibri" w:hAnsi="Calibri" w:eastAsia="Calibri"/>
        </w:rPr>
        <w:t xml:space="preserve"> (6) e </w:t>
      </w:r>
      <w:r>
        <w:rPr>
          <w:rFonts w:ascii="Calibri" w:hAnsi="Calibri" w:eastAsia="Calibri"/>
          <w:b/>
        </w:rPr>
        <w:t>inclusión</w:t>
      </w:r>
      <w:r>
        <w:rPr>
          <w:rFonts w:ascii="Calibri" w:hAnsi="Calibri" w:eastAsia="Calibri"/>
        </w:rPr>
        <w:t xml:space="preserve"> (4; por ejemplo, lengua de señas).</w:t>
      </w:r>
    </w:p>
    <w:p>
      <w:pPr>
        <w:keepNext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38695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9_abi2_practic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86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  <w:jc w:val="center"/>
      </w:pPr>
      <w:r>
        <w:rPr>
          <w:rFonts w:ascii="Calibri" w:hAnsi="Calibri" w:eastAsia="Calibri"/>
          <w:i/>
          <w:color w:val="666666"/>
          <w:sz w:val="18"/>
        </w:rPr>
        <w:t>Figura 14. Qué piden quienes tienen y no tienen práctica previa (número de menciones).</w:t>
      </w:r>
    </w:p>
    <w:p>
      <w:r>
        <w:rPr>
          <w:rFonts w:ascii="Calibri" w:hAnsi="Calibri" w:eastAsia="Calibri"/>
        </w:rPr>
        <w:t xml:space="preserve">Un matiz: entre quienes </w:t>
      </w:r>
      <w:r>
        <w:rPr>
          <w:rFonts w:ascii="Calibri" w:hAnsi="Calibri" w:eastAsia="Calibri"/>
          <w:b/>
        </w:rPr>
        <w:t>no</w:t>
      </w:r>
      <w:r>
        <w:rPr>
          <w:rFonts w:ascii="Calibri" w:hAnsi="Calibri" w:eastAsia="Calibri"/>
        </w:rPr>
        <w:t xml:space="preserve"> han hecho práctica, lo más pedido son </w:t>
      </w:r>
      <w:r>
        <w:rPr>
          <w:rFonts w:ascii="Calibri" w:hAnsi="Calibri" w:eastAsia="Calibri"/>
          <w:b/>
        </w:rPr>
        <w:t>salidas a terreno</w:t>
      </w:r>
      <w:r>
        <w:rPr>
          <w:rFonts w:ascii="Calibri" w:hAnsi="Calibri" w:eastAsia="Calibri"/>
        </w:rPr>
        <w:t xml:space="preserve"> (14 vs. 2) y </w:t>
      </w:r>
      <w:r>
        <w:rPr>
          <w:rFonts w:ascii="Calibri" w:hAnsi="Calibri" w:eastAsia="Calibri"/>
          <w:b/>
        </w:rPr>
        <w:t>simulaciones</w:t>
      </w:r>
      <w:r>
        <w:rPr>
          <w:rFonts w:ascii="Calibri" w:hAnsi="Calibri" w:eastAsia="Calibri"/>
        </w:rPr>
        <w:t xml:space="preserve"> (22 vs. 9): quieren ver el trabajo antes de vivirlo. Entre quienes sí la hicieron, destaca la </w:t>
      </w:r>
      <w:r>
        <w:rPr>
          <w:rFonts w:ascii="Calibri" w:hAnsi="Calibri" w:eastAsia="Calibri"/>
          <w:b/>
        </w:rPr>
        <w:t>comunicación y las habilidades blandas</w:t>
      </w:r>
      <w:r>
        <w:rPr>
          <w:rFonts w:ascii="Calibri" w:hAnsi="Calibri" w:eastAsia="Calibri"/>
        </w:rPr>
        <w:t xml:space="preserve"> (16 vs. 6): ya saben que ahí está el desafío.</w:t>
      </w:r>
    </w:p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tcBorders>
              <w:top w:val="nil"/>
              <w:left w:val="single" w:sz="32" w:color="FFB800"/>
              <w:bottom w:val="nil"/>
              <w:right w:val="nil"/>
            </w:tcBorders>
            <w:shd w:val="clear" w:color="auto" w:fill="EEEEEE"/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1"/>
              </w:rPr>
              <w:t>Cuando los números y las palabras coinciden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Los 15 estudiantes que dijeron no tener un aprendizaje claro también puntúan más bajo en el índice global (3,64 vs. 3,92). Y los estudiantes que piden «ver el trabajo» son los mismos que en la encuesta dicen no haber comprobado si el trabajo calza con ellos (P09).</w:t>
            </w:r>
          </w:p>
        </w:tc>
      </w:tr>
    </w:tbl>
    <w:p>
      <w:pPr>
        <w:spacing w:after="200" w:line="240" w:lineRule="auto"/>
      </w:pPr>
      <w:r>
        <w:rPr>
          <w:sz w:val="8"/>
        </w:rPr>
        <w:t xml:space="preserve"> </w:t>
      </w:r>
    </w:p>
    <w:p>
      <w:pPr>
        <w:pStyle w:val="Heading2"/>
        <w:pBdr>
          <w:left w:val="single" w:sz="28" w:space="8" w:color="FFB800"/>
        </w:pBdr>
      </w:pPr>
      <w:r>
        <w:t>2.5 Principales hallazgos</w:t>
      </w:r>
    </w:p>
    <w:p>
      <w:r>
        <w:rPr>
          <w:rFonts w:ascii="Calibri" w:hAnsi="Calibri" w:eastAsia="Calibri"/>
          <w:color w:val="666666"/>
          <w:sz w:val="19"/>
        </w:rPr>
        <w:t xml:space="preserve">Cada hallazgo se etiqueta según su solidez: </w:t>
      </w:r>
      <w:r>
        <w:rPr>
          <w:rFonts w:ascii="Calibri" w:hAnsi="Calibri" w:eastAsia="Calibri"/>
          <w:b/>
          <w:color w:val="666666"/>
          <w:sz w:val="19"/>
        </w:rPr>
        <w:t>[HECHO]</w:t>
      </w:r>
      <w:r>
        <w:rPr>
          <w:rFonts w:ascii="Calibri" w:hAnsi="Calibri" w:eastAsia="Calibri"/>
          <w:color w:val="666666"/>
          <w:sz w:val="19"/>
        </w:rPr>
        <w:t xml:space="preserve"> dato observado; </w:t>
      </w:r>
      <w:r>
        <w:rPr>
          <w:rFonts w:ascii="Calibri" w:hAnsi="Calibri" w:eastAsia="Calibri"/>
          <w:b/>
          <w:color w:val="666666"/>
          <w:sz w:val="19"/>
        </w:rPr>
        <w:t>[INTERPRETACIÓN]</w:t>
      </w:r>
      <w:r>
        <w:rPr>
          <w:rFonts w:ascii="Calibri" w:hAnsi="Calibri" w:eastAsia="Calibri"/>
          <w:color w:val="666666"/>
          <w:sz w:val="19"/>
        </w:rPr>
        <w:t xml:space="preserve"> lectura razonada que depende del contexto; </w:t>
      </w:r>
      <w:r>
        <w:rPr>
          <w:rFonts w:ascii="Calibri" w:hAnsi="Calibri" w:eastAsia="Calibri"/>
          <w:b/>
          <w:color w:val="666666"/>
          <w:sz w:val="19"/>
        </w:rPr>
        <w:t>[BRECHA]</w:t>
      </w:r>
      <w:r>
        <w:rPr>
          <w:rFonts w:ascii="Calibri" w:hAnsi="Calibri" w:eastAsia="Calibri"/>
          <w:color w:val="666666"/>
          <w:sz w:val="19"/>
        </w:rPr>
        <w:t xml:space="preserve"> algo que falta saber o medir.</w:t>
      </w:r>
    </w:p>
    <w:tbl>
      <w:tblPr>
        <w:tblW w:type="dxa" w:w="9355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563"/>
        <w:gridCol w:w="6650"/>
        <w:gridCol w:w="2141"/>
      </w:tblGrid>
      <w:tr>
        <w:trPr>
          <w:tblHeader w:val="true"/>
        </w:trPr>
        <w:tc>
          <w:tcPr>
            <w:tcW w:type="dxa" w:w="564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N.º</w:t>
            </w:r>
          </w:p>
        </w:tc>
        <w:tc>
          <w:tcPr>
            <w:tcW w:type="dxa" w:w="6649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Hallazgo</w:t>
            </w:r>
          </w:p>
        </w:tc>
        <w:tc>
          <w:tcPr>
            <w:tcW w:type="dxa" w:w="2141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Estatus</w:t>
            </w:r>
          </w:p>
        </w:tc>
      </w:tr>
      <w:tr>
        <w:trPr>
          <w:cantSplit/>
        </w:trPr>
        <w:tc>
          <w:tcPr>
            <w:tcW w:type="dxa" w:w="5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1</w:t>
            </w:r>
          </w:p>
        </w:tc>
        <w:tc>
          <w:tcPr>
            <w:tcW w:type="dxa" w:w="664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9"/>
              </w:rPr>
              <w:t>Base sólida: puntaje global 3,87 y 70 % de respuestas favorables. Ninguna dimensión llega a verde (4,20).</w:t>
            </w:r>
          </w:p>
        </w:tc>
        <w:tc>
          <w:tcPr>
            <w:tcW w:type="dxa" w:w="2141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[HECHO]</w:t>
            </w:r>
          </w:p>
        </w:tc>
      </w:tr>
      <w:tr>
        <w:trPr>
          <w:cantSplit/>
        </w:trPr>
        <w:tc>
          <w:tcPr>
            <w:tcW w:type="dxa" w:w="56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2</w:t>
            </w:r>
          </w:p>
        </w:tc>
        <w:tc>
          <w:tcPr>
            <w:tcW w:type="dxa" w:w="664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9"/>
              </w:rPr>
              <w:t>La red de contactos (P12) es la afirmación más débil: 41 % de acuerdo, 30 % en desacuerdo.</w:t>
            </w:r>
          </w:p>
        </w:tc>
        <w:tc>
          <w:tcPr>
            <w:tcW w:type="dxa" w:w="2141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[HECHO]</w:t>
            </w:r>
          </w:p>
        </w:tc>
      </w:tr>
      <w:tr>
        <w:trPr>
          <w:cantSplit/>
        </w:trPr>
        <w:tc>
          <w:tcPr>
            <w:tcW w:type="dxa" w:w="5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3</w:t>
            </w:r>
          </w:p>
        </w:tc>
        <w:tc>
          <w:tcPr>
            <w:tcW w:type="dxa" w:w="664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9"/>
              </w:rPr>
              <w:t>El interés por proyectos con empresas es muy alto (83 %) y homogéneo entre perfiles.</w:t>
            </w:r>
          </w:p>
        </w:tc>
        <w:tc>
          <w:tcPr>
            <w:tcW w:type="dxa" w:w="2141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[HECHO]</w:t>
            </w:r>
          </w:p>
        </w:tc>
      </w:tr>
      <w:tr>
        <w:trPr>
          <w:cantSplit/>
        </w:trPr>
        <w:tc>
          <w:tcPr>
            <w:tcW w:type="dxa" w:w="56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4</w:t>
            </w:r>
          </w:p>
        </w:tc>
        <w:tc>
          <w:tcPr>
            <w:tcW w:type="dxa" w:w="664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9"/>
              </w:rPr>
              <w:t>Sienten más capacidad de actuar que conocimiento del trabajo real (P01, P02, P09 bajo 70 %).</w:t>
            </w:r>
          </w:p>
        </w:tc>
        <w:tc>
          <w:tcPr>
            <w:tcW w:type="dxa" w:w="2141"/>
            <w:shd w:val="clear" w:color="auto" w:fill="6666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[INTERPRETACIÓN]</w:t>
            </w:r>
          </w:p>
        </w:tc>
      </w:tr>
      <w:tr>
        <w:trPr>
          <w:cantSplit/>
        </w:trPr>
        <w:tc>
          <w:tcPr>
            <w:tcW w:type="dxa" w:w="5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5</w:t>
            </w:r>
          </w:p>
        </w:tc>
        <w:tc>
          <w:tcPr>
            <w:tcW w:type="dxa" w:w="664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9"/>
              </w:rPr>
              <w:t>Quienes tienen práctica previa puntúan algo más alto (+0,17 global; +0,33 en conocer el rol), con diferencias pequeñas.</w:t>
            </w:r>
          </w:p>
        </w:tc>
        <w:tc>
          <w:tcPr>
            <w:tcW w:type="dxa" w:w="2141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[HECHO]</w:t>
            </w:r>
          </w:p>
        </w:tc>
      </w:tr>
      <w:tr>
        <w:trPr>
          <w:cantSplit/>
        </w:trPr>
        <w:tc>
          <w:tcPr>
            <w:tcW w:type="dxa" w:w="56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6</w:t>
            </w:r>
          </w:p>
        </w:tc>
        <w:tc>
          <w:tcPr>
            <w:tcW w:type="dxa" w:w="664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9"/>
              </w:rPr>
              <w:t>El año de estudio no ordena los resultados; 3.º–4.º semestre es el tramo más bajo.</w:t>
            </w:r>
          </w:p>
        </w:tc>
        <w:tc>
          <w:tcPr>
            <w:tcW w:type="dxa" w:w="2141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[HECHO]</w:t>
            </w:r>
          </w:p>
        </w:tc>
      </w:tr>
      <w:tr>
        <w:trPr>
          <w:cantSplit/>
        </w:trPr>
        <w:tc>
          <w:tcPr>
            <w:tcW w:type="dxa" w:w="5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7</w:t>
            </w:r>
          </w:p>
        </w:tc>
        <w:tc>
          <w:tcPr>
            <w:tcW w:type="dxa" w:w="664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9"/>
              </w:rPr>
              <w:t>21 % de los estudiantes queda en rojo (&lt; 3,50) según el semáforo oficial.</w:t>
            </w:r>
          </w:p>
        </w:tc>
        <w:tc>
          <w:tcPr>
            <w:tcW w:type="dxa" w:w="2141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[HECHO]</w:t>
            </w:r>
          </w:p>
        </w:tc>
      </w:tr>
      <w:tr>
        <w:trPr>
          <w:cantSplit/>
        </w:trPr>
        <w:tc>
          <w:tcPr>
            <w:tcW w:type="dxa" w:w="56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8</w:t>
            </w:r>
          </w:p>
        </w:tc>
        <w:tc>
          <w:tcPr>
            <w:tcW w:type="dxa" w:w="664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9"/>
              </w:rPr>
              <w:t>Los comentarios piden práctica real: simulaciones, terreno, herramientas, inglés y comunicación.</w:t>
            </w:r>
          </w:p>
        </w:tc>
        <w:tc>
          <w:tcPr>
            <w:tcW w:type="dxa" w:w="2141"/>
            <w:shd w:val="clear" w:color="auto" w:fill="1A1A1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[HECHO]</w:t>
            </w:r>
          </w:p>
        </w:tc>
      </w:tr>
      <w:tr>
        <w:trPr>
          <w:cantSplit/>
        </w:trPr>
        <w:tc>
          <w:tcPr>
            <w:tcW w:type="dxa" w:w="5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9</w:t>
            </w:r>
          </w:p>
        </w:tc>
        <w:tc>
          <w:tcPr>
            <w:tcW w:type="dxa" w:w="664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9"/>
              </w:rPr>
              <w:t>Quienes no han hecho práctica sienten que no tienen «aprendizajes laborales» que contar.</w:t>
            </w:r>
          </w:p>
        </w:tc>
        <w:tc>
          <w:tcPr>
            <w:tcW w:type="dxa" w:w="2141"/>
            <w:shd w:val="clear" w:color="auto" w:fill="66666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[INTERPRETACIÓN]</w:t>
            </w:r>
          </w:p>
        </w:tc>
      </w:tr>
      <w:tr>
        <w:trPr>
          <w:cantSplit/>
        </w:trPr>
        <w:tc>
          <w:tcPr>
            <w:tcW w:type="dxa" w:w="56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9"/>
              </w:rPr>
              <w:t>10</w:t>
            </w:r>
          </w:p>
        </w:tc>
        <w:tc>
          <w:tcPr>
            <w:tcW w:type="dxa" w:w="664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9"/>
              </w:rPr>
              <w:t>No se puede medir el efecto de La Puerta: faltan código, momento y grupo, y la valoración del programa.</w:t>
            </w:r>
          </w:p>
        </w:tc>
        <w:tc>
          <w:tcPr>
            <w:tcW w:type="dxa" w:w="2141"/>
            <w:shd w:val="clear" w:color="auto" w:fill="FFB80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b/>
                <w:color w:val="1A1A1A"/>
                <w:sz w:val="19"/>
              </w:rPr>
              <w:t>[BRECHA]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p>
      <w:pPr>
        <w:pStyle w:val="Heading1"/>
        <w:pageBreakBefore/>
        <w:pBdr>
          <w:left w:val="single" w:sz="36" w:space="8" w:color="FFB800"/>
        </w:pBdr>
      </w:pPr>
      <w:r>
        <w:t>3. CONCLUSIÓN</w:t>
      </w:r>
    </w:p>
    <w:p>
      <w:pPr>
        <w:pStyle w:val="Heading2"/>
        <w:pBdr>
          <w:left w:val="single" w:sz="28" w:space="8" w:color="FFB800"/>
        </w:pBdr>
      </w:pPr>
      <w:r>
        <w:t>3.1 Conclusiones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1.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Los estudiantes llegan a la práctica con confianza razonable.</w:t>
      </w:r>
      <w:r>
        <w:rPr>
          <w:rFonts w:ascii="Calibri" w:hAnsi="Calibri" w:eastAsia="Calibri"/>
        </w:rPr>
        <w:t xml:space="preserve"> Siete de cada diez de sus respuestas son favorables (de acuerdo o muy de acuerdo); la actitud (ética, diálogo, ganas de aprender) es la base más fuerte.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2.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El vacío está en el contacto con el mundo real</w:t>
      </w:r>
      <w:r>
        <w:rPr>
          <w:rFonts w:ascii="Calibri" w:hAnsi="Calibri" w:eastAsia="Calibri"/>
        </w:rPr>
        <w:t>, no en la motivación. Conocer tareas, exigencias, contactos y comprobar si el trabajo les gusta son los puntos más bajos.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3.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La red de contactos es la brecha más nítida y transversal</w:t>
      </w:r>
      <w:r>
        <w:rPr>
          <w:rFonts w:ascii="Calibri" w:hAnsi="Calibri" w:eastAsia="Calibri"/>
        </w:rPr>
        <w:t>: aparece en todos los perfiles, años y tipos de práctica.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4.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La práctica previa ayuda, pero no explica todo.</w:t>
      </w:r>
      <w:r>
        <w:rPr>
          <w:rFonts w:ascii="Calibri" w:hAnsi="Calibri" w:eastAsia="Calibri"/>
        </w:rPr>
        <w:t xml:space="preserve"> Quienes ya trabajaron se sienten algo más preparados; la diferencia es moderada y parte de ella se confunde con el año de estudio.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5.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Los propios estudiantes ya dicen qué necesitan:</w:t>
      </w:r>
      <w:r>
        <w:rPr>
          <w:rFonts w:ascii="Calibri" w:hAnsi="Calibri" w:eastAsia="Calibri"/>
        </w:rPr>
        <w:t xml:space="preserve"> simulaciones realistas, salidas a terreno, herramientas de uso real, inglés y comunicación.</w:t>
      </w:r>
    </w:p>
    <w:p>
      <w:pPr>
        <w:spacing w:after="80"/>
        <w:ind w:left="510" w:hanging="340"/>
      </w:pPr>
      <w:r>
        <w:rPr>
          <w:rFonts w:ascii="Calibri" w:hAnsi="Calibri" w:eastAsia="Calibri"/>
          <w:b/>
        </w:rPr>
        <w:t>6.</w:t>
      </w:r>
      <w:r>
        <w:rPr>
          <w:rFonts w:ascii="Calibri" w:hAnsi="Calibri" w:eastAsia="Calibri"/>
        </w:rPr>
        <w:t xml:space="preserve">  </w:t>
      </w:r>
      <w:r>
        <w:rPr>
          <w:rFonts w:ascii="Calibri" w:hAnsi="Calibri" w:eastAsia="Calibri"/>
          <w:b/>
        </w:rPr>
        <w:t>Con esta base solo se puede describir, no evaluar el programa.</w:t>
      </w:r>
      <w:r>
        <w:rPr>
          <w:rFonts w:ascii="Calibri" w:hAnsi="Calibri" w:eastAsia="Calibri"/>
        </w:rPr>
        <w:t xml:space="preserve"> El diseño pre-post con grupo de comparación sigue pendiente.</w:t>
      </w:r>
    </w:p>
    <w:p>
      <w:pPr>
        <w:pStyle w:val="Heading3"/>
      </w:pPr>
      <w:r>
        <w:t>Limitaciones</w:t>
      </w:r>
    </w:p>
    <w:p>
      <w:pPr>
        <w:pStyle w:val="ListBullet"/>
        <w:spacing w:after="60"/>
      </w:pPr>
      <w:r>
        <w:rPr>
          <w:rFonts w:ascii="Calibri" w:hAnsi="Calibri" w:eastAsia="Calibri"/>
        </w:rPr>
        <w:t xml:space="preserve">Todos los datos son </w:t>
      </w:r>
      <w:r>
        <w:rPr>
          <w:rFonts w:ascii="Calibri" w:hAnsi="Calibri" w:eastAsia="Calibri"/>
          <w:b/>
        </w:rPr>
        <w:t>autopercepciones</w:t>
      </w:r>
      <w:r>
        <w:rPr>
          <w:rFonts w:ascii="Calibri" w:hAnsi="Calibri" w:eastAsia="Calibri"/>
        </w:rPr>
        <w:t>: lo que cada estudiante cree de sí mismo, no una medición de su desempeño ni la mirada de jefaturas; además, al venir todo de la misma fuente, las respuestas tienden a parecerse entre sí (Podsakoff et al., 2003).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 xml:space="preserve">Es una </w:t>
      </w:r>
      <w:r>
        <w:rPr>
          <w:rFonts w:ascii="Calibri" w:hAnsi="Calibri" w:eastAsia="Calibri"/>
          <w:b/>
        </w:rPr>
        <w:t>sola medición</w:t>
      </w:r>
      <w:r>
        <w:rPr>
          <w:rFonts w:ascii="Calibri" w:hAnsi="Calibri" w:eastAsia="Calibri"/>
        </w:rPr>
        <w:t>; no se puede saber qué cambió ni por qué.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 xml:space="preserve">La muestra es </w:t>
      </w:r>
      <w:r>
        <w:rPr>
          <w:rFonts w:ascii="Calibri" w:hAnsi="Calibri" w:eastAsia="Calibri"/>
          <w:b/>
        </w:rPr>
        <w:t>voluntaria</w:t>
      </w:r>
      <w:r>
        <w:rPr>
          <w:rFonts w:ascii="Calibri" w:hAnsi="Calibri" w:eastAsia="Calibri"/>
        </w:rPr>
        <w:t xml:space="preserve"> y concentrada en una escuela; no representa a toda la institución.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>Las respuestas abiertas se codificaron con ayuda de IA; requieren validación humana.</w:t>
      </w:r>
    </w:p>
    <w:p>
      <w:pPr>
        <w:pStyle w:val="ListBullet"/>
        <w:spacing w:after="60"/>
      </w:pPr>
      <w:r>
        <w:rPr>
          <w:rFonts w:ascii="Calibri" w:hAnsi="Calibri" w:eastAsia="Calibri"/>
        </w:rPr>
        <w:t xml:space="preserve">El instrumento aplicado (15 afirmaciones, 5 dimensiones) </w:t>
      </w:r>
      <w:r>
        <w:rPr>
          <w:rFonts w:ascii="Calibri" w:hAnsi="Calibri" w:eastAsia="Calibri"/>
          <w:b/>
        </w:rPr>
        <w:t>no coincide con el descrito en el Informe Metodológico</w:t>
      </w:r>
      <w:r>
        <w:rPr>
          <w:rFonts w:ascii="Calibri" w:hAnsi="Calibri" w:eastAsia="Calibri"/>
        </w:rPr>
        <w:t xml:space="preserve"> (que incluye las preguntas A03 y A04 sobre preparación percibida y valoración de la experiencia previa): esa parte no pudo analizarse.</w:t>
      </w:r>
    </w:p>
    <w:p>
      <w:pPr>
        <w:pStyle w:val="Heading2"/>
        <w:pBdr>
          <w:left w:val="single" w:sz="28" w:space="8" w:color="FFB800"/>
        </w:pBdr>
      </w:pPr>
      <w:r>
        <w:t>3.2 Recomendaciones de mejora</w:t>
      </w:r>
    </w:p>
    <w:p>
      <w:r>
        <w:rPr>
          <w:rFonts w:ascii="Calibri" w:hAnsi="Calibri" w:eastAsia="Calibri"/>
        </w:rPr>
        <w:t>Se ordenan por urgencia e impacto esperado. Los detalles de implementación están en el Manual de propuestas de mejora (Producto G).</w:t>
      </w:r>
    </w:p>
    <w:tbl>
      <w:tblPr>
        <w:tblW w:type="dxa" w:w="9355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563"/>
        <w:gridCol w:w="4508"/>
        <w:gridCol w:w="2648"/>
        <w:gridCol w:w="1634"/>
      </w:tblGrid>
      <w:tr>
        <w:trPr>
          <w:tblHeader w:val="true"/>
        </w:trPr>
        <w:tc>
          <w:tcPr>
            <w:tcW w:type="dxa" w:w="564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Cód.</w:t>
            </w:r>
          </w:p>
        </w:tc>
        <w:tc>
          <w:tcPr>
            <w:tcW w:type="dxa" w:w="4508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Recomendación</w:t>
            </w:r>
          </w:p>
        </w:tc>
        <w:tc>
          <w:tcPr>
            <w:tcW w:type="dxa" w:w="2649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Por qué</w:t>
            </w:r>
          </w:p>
        </w:tc>
        <w:tc>
          <w:tcPr>
            <w:tcW w:type="dxa" w:w="1634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Plazo</w:t>
            </w:r>
          </w:p>
        </w:tc>
      </w:tr>
      <w:tr>
        <w:trPr>
          <w:cantSplit/>
        </w:trPr>
        <w:tc>
          <w:tcPr>
            <w:tcW w:type="dxa" w:w="5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R1</w:t>
            </w:r>
          </w:p>
        </w:tc>
        <w:tc>
          <w:tcPr>
            <w:tcW w:type="dxa" w:w="450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8"/>
              </w:rPr>
              <w:t>Corregir el diseño de medición:</w:t>
            </w:r>
            <w:r>
              <w:rPr>
                <w:rFonts w:ascii="Calibri" w:hAnsi="Calibri" w:eastAsia="Calibri"/>
                <w:sz w:val="18"/>
              </w:rPr>
              <w:t xml:space="preserve"> código único obligatorio, momento (pre/post) y grupo (La Puerta/comparación) como campos requeridos; agregar A03 y A04.</w:t>
            </w:r>
          </w:p>
        </w:tc>
        <w:tc>
          <w:tcPr>
            <w:tcW w:type="dxa" w:w="264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Sin esto no se puede evaluar el programa.</w:t>
            </w:r>
          </w:p>
        </w:tc>
        <w:tc>
          <w:tcPr>
            <w:tcW w:type="dxa" w:w="163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Antes de la próxima aplicación</w:t>
            </w:r>
          </w:p>
        </w:tc>
      </w:tr>
      <w:tr>
        <w:trPr>
          <w:cantSplit/>
        </w:trPr>
        <w:tc>
          <w:tcPr>
            <w:tcW w:type="dxa" w:w="56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R2</w:t>
            </w:r>
          </w:p>
        </w:tc>
        <w:tc>
          <w:tcPr>
            <w:tcW w:type="dxa" w:w="450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8"/>
              </w:rPr>
              <w:t>Construir redes desde el primer año:</w:t>
            </w:r>
            <w:r>
              <w:rPr>
                <w:rFonts w:ascii="Calibri" w:hAnsi="Calibri" w:eastAsia="Calibri"/>
                <w:sz w:val="18"/>
              </w:rPr>
              <w:t xml:space="preserve"> mentorías con egresados y practicantes, ferias y charlas con empresas.</w:t>
            </w:r>
          </w:p>
        </w:tc>
        <w:tc>
          <w:tcPr>
            <w:tcW w:type="dxa" w:w="264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P12 = 41 % de acuerdo; es la brecha mayor.</w:t>
            </w:r>
          </w:p>
        </w:tc>
        <w:tc>
          <w:tcPr>
            <w:tcW w:type="dxa" w:w="163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1 semestre</w:t>
            </w:r>
          </w:p>
        </w:tc>
      </w:tr>
      <w:tr>
        <w:trPr>
          <w:cantSplit/>
        </w:trPr>
        <w:tc>
          <w:tcPr>
            <w:tcW w:type="dxa" w:w="5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R3</w:t>
            </w:r>
          </w:p>
        </w:tc>
        <w:tc>
          <w:tcPr>
            <w:tcW w:type="dxa" w:w="450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8"/>
              </w:rPr>
              <w:t>Microexperiencias de contacto real:</w:t>
            </w:r>
            <w:r>
              <w:rPr>
                <w:rFonts w:ascii="Calibri" w:hAnsi="Calibri" w:eastAsia="Calibri"/>
                <w:sz w:val="18"/>
              </w:rPr>
              <w:t xml:space="preserve"> simulaciones de la práctica (entrevista, primer día, conversación con jefatura), visitas y salidas a terreno.</w:t>
            </w:r>
          </w:p>
        </w:tc>
        <w:tc>
          <w:tcPr>
            <w:tcW w:type="dxa" w:w="264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Es lo más pedido; apunta a P01, P02 y P09.</w:t>
            </w:r>
          </w:p>
        </w:tc>
        <w:tc>
          <w:tcPr>
            <w:tcW w:type="dxa" w:w="163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1 semestre</w:t>
            </w:r>
          </w:p>
        </w:tc>
      </w:tr>
      <w:tr>
        <w:trPr>
          <w:cantSplit/>
        </w:trPr>
        <w:tc>
          <w:tcPr>
            <w:tcW w:type="dxa" w:w="56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R4</w:t>
            </w:r>
          </w:p>
        </w:tc>
        <w:tc>
          <w:tcPr>
            <w:tcW w:type="dxa" w:w="450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8"/>
              </w:rPr>
              <w:t>Acompañamiento focalizado al 21 % en semáforo rojo.</w:t>
            </w:r>
          </w:p>
        </w:tc>
        <w:tc>
          <w:tcPr>
            <w:tcW w:type="dxa" w:w="264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Prevención temprana del shock de transición.</w:t>
            </w:r>
          </w:p>
        </w:tc>
        <w:tc>
          <w:tcPr>
            <w:tcW w:type="dxa" w:w="163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Antes de la práctica</w:t>
            </w:r>
          </w:p>
        </w:tc>
      </w:tr>
      <w:tr>
        <w:trPr>
          <w:cantSplit/>
        </w:trPr>
        <w:tc>
          <w:tcPr>
            <w:tcW w:type="dxa" w:w="5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R5</w:t>
            </w:r>
          </w:p>
        </w:tc>
        <w:tc>
          <w:tcPr>
            <w:tcW w:type="dxa" w:w="450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8"/>
              </w:rPr>
              <w:t>Taller de comunicación y presentación profesional</w:t>
            </w:r>
            <w:r>
              <w:rPr>
                <w:rFonts w:ascii="Calibri" w:hAnsi="Calibri" w:eastAsia="Calibri"/>
                <w:sz w:val="18"/>
              </w:rPr>
              <w:t xml:space="preserve"> (oratoria, explicar lo técnico, pedir ayuda).</w:t>
            </w:r>
          </w:p>
        </w:tc>
        <w:tc>
          <w:tcPr>
            <w:tcW w:type="dxa" w:w="264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P04 = 68 %; 22 menciones en comentarios.</w:t>
            </w:r>
          </w:p>
        </w:tc>
        <w:tc>
          <w:tcPr>
            <w:tcW w:type="dxa" w:w="163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1 semestre</w:t>
            </w:r>
          </w:p>
        </w:tc>
      </w:tr>
      <w:tr>
        <w:trPr>
          <w:cantSplit/>
        </w:trPr>
        <w:tc>
          <w:tcPr>
            <w:tcW w:type="dxa" w:w="56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R6</w:t>
            </w:r>
          </w:p>
        </w:tc>
        <w:tc>
          <w:tcPr>
            <w:tcW w:type="dxa" w:w="450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8"/>
              </w:rPr>
              <w:t>Reforzar inglés y herramientas reales</w:t>
            </w:r>
            <w:r>
              <w:rPr>
                <w:rFonts w:ascii="Calibri" w:hAnsi="Calibri" w:eastAsia="Calibri"/>
                <w:sz w:val="18"/>
              </w:rPr>
              <w:t xml:space="preserve"> (ERP, Excel avanzado, Power BI) en carreras que lo requieren.</w:t>
            </w:r>
          </w:p>
        </w:tc>
        <w:tc>
          <w:tcPr>
            <w:tcW w:type="dxa" w:w="264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20 y 19 menciones respectivamente.</w:t>
            </w:r>
          </w:p>
        </w:tc>
        <w:tc>
          <w:tcPr>
            <w:tcW w:type="dxa" w:w="163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2 semestres</w:t>
            </w:r>
          </w:p>
        </w:tc>
      </w:tr>
      <w:tr>
        <w:trPr>
          <w:cantSplit/>
        </w:trPr>
        <w:tc>
          <w:tcPr>
            <w:tcW w:type="dxa" w:w="5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R7</w:t>
            </w:r>
          </w:p>
        </w:tc>
        <w:tc>
          <w:tcPr>
            <w:tcW w:type="dxa" w:w="450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8"/>
              </w:rPr>
              <w:t>Atención especial al tramo 3.º–4.º semestre.</w:t>
            </w:r>
          </w:p>
        </w:tc>
        <w:tc>
          <w:tcPr>
            <w:tcW w:type="dxa" w:w="264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Es el tramo con puntajes más bajos.</w:t>
            </w:r>
          </w:p>
        </w:tc>
        <w:tc>
          <w:tcPr>
            <w:tcW w:type="dxa" w:w="163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1–2 semestres</w:t>
            </w:r>
          </w:p>
        </w:tc>
      </w:tr>
      <w:tr>
        <w:trPr>
          <w:cantSplit/>
        </w:trPr>
        <w:tc>
          <w:tcPr>
            <w:tcW w:type="dxa" w:w="56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R8</w:t>
            </w:r>
          </w:p>
        </w:tc>
        <w:tc>
          <w:tcPr>
            <w:tcW w:type="dxa" w:w="450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8"/>
              </w:rPr>
              <w:t>Validar la codificación de respuestas abiertas</w:t>
            </w:r>
            <w:r>
              <w:rPr>
                <w:rFonts w:ascii="Calibri" w:hAnsi="Calibri" w:eastAsia="Calibri"/>
                <w:sz w:val="18"/>
              </w:rPr>
              <w:t xml:space="preserve"> con doble lectura humana y publicar el libro de códigos.</w:t>
            </w:r>
          </w:p>
        </w:tc>
        <w:tc>
          <w:tcPr>
            <w:tcW w:type="dxa" w:w="264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Rigor y transparencia.</w:t>
            </w:r>
          </w:p>
        </w:tc>
        <w:tc>
          <w:tcPr>
            <w:tcW w:type="dxa" w:w="163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1 mes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p>
      <w:pPr>
        <w:pStyle w:val="Heading1"/>
        <w:pageBreakBefore/>
        <w:pBdr>
          <w:left w:val="single" w:sz="36" w:space="8" w:color="FFB800"/>
        </w:pBdr>
      </w:pPr>
      <w:r>
        <w:t>4. REFERENCIAS</w:t>
      </w:r>
    </w:p>
    <w:p>
      <w:r>
        <w:rPr>
          <w:rFonts w:ascii="Calibri" w:hAnsi="Calibri" w:eastAsia="Calibri"/>
          <w:color w:val="666666"/>
          <w:sz w:val="20"/>
        </w:rPr>
        <w:t xml:space="preserve">Referencias en formato APA 7, ordenadas alfabéticamente. Las dos últimas son documentos internos del proyecto. Las referencias académicas fueron seleccionadas por la herramienta de IA a partir de su conocimiento de la literatura y </w:t>
      </w:r>
      <w:r>
        <w:rPr>
          <w:rFonts w:ascii="Calibri" w:hAnsi="Calibri" w:eastAsia="Calibri"/>
          <w:b/>
          <w:color w:val="666666"/>
          <w:sz w:val="20"/>
        </w:rPr>
        <w:t>no se verificaron en línea durante esta sesión</w:t>
      </w:r>
      <w:r>
        <w:rPr>
          <w:rFonts w:ascii="Calibri" w:hAnsi="Calibri" w:eastAsia="Calibri"/>
          <w:color w:val="666666"/>
          <w:sz w:val="20"/>
        </w:rPr>
        <w:t>: conviene confirmar volumen, páginas y DOI antes de una publicación formal.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Bandura, A. (1997). </w:t>
      </w:r>
      <w:r>
        <w:rPr>
          <w:rFonts w:ascii="Calibri" w:hAnsi="Calibri"/>
          <w:i/>
          <w:sz w:val="21"/>
        </w:rPr>
        <w:t>Self-efficacy: The exercise of control</w:t>
      </w:r>
      <w:r>
        <w:rPr>
          <w:rFonts w:ascii="Calibri" w:hAnsi="Calibri"/>
          <w:i w:val="0"/>
          <w:sz w:val="21"/>
        </w:rPr>
        <w:t>. W. H. Freeman.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Braun, V., &amp; Clarke, V. (2006). Using thematic analysis in psychology. </w:t>
      </w:r>
      <w:r>
        <w:rPr>
          <w:rFonts w:ascii="Calibri" w:hAnsi="Calibri"/>
          <w:i/>
          <w:sz w:val="21"/>
        </w:rPr>
        <w:t>Qualitative Research in Psychology, 3</w:t>
      </w:r>
      <w:r>
        <w:rPr>
          <w:rFonts w:ascii="Calibri" w:hAnsi="Calibri"/>
          <w:i w:val="0"/>
          <w:sz w:val="21"/>
        </w:rPr>
        <w:t>(2), 77–101.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Cronbach, L. J. (1951). Coefficient alpha and the internal structure of tests. </w:t>
      </w:r>
      <w:r>
        <w:rPr>
          <w:rFonts w:ascii="Calibri" w:hAnsi="Calibri"/>
          <w:i/>
          <w:sz w:val="21"/>
        </w:rPr>
        <w:t>Psychometrika, 16</w:t>
      </w:r>
      <w:r>
        <w:rPr>
          <w:rFonts w:ascii="Calibri" w:hAnsi="Calibri"/>
          <w:i w:val="0"/>
          <w:sz w:val="21"/>
        </w:rPr>
        <w:t>(3), 297–334.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Dweck, C. S. (2006). </w:t>
      </w:r>
      <w:r>
        <w:rPr>
          <w:rFonts w:ascii="Calibri" w:hAnsi="Calibri"/>
          <w:i/>
          <w:sz w:val="21"/>
        </w:rPr>
        <w:t>Mindset: The new psychology of success</w:t>
      </w:r>
      <w:r>
        <w:rPr>
          <w:rFonts w:ascii="Calibri" w:hAnsi="Calibri"/>
          <w:i w:val="0"/>
          <w:sz w:val="21"/>
        </w:rPr>
        <w:t>. Random House.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Granovetter, M. S. (1973). The strength of weak ties. </w:t>
      </w:r>
      <w:r>
        <w:rPr>
          <w:rFonts w:ascii="Calibri" w:hAnsi="Calibri"/>
          <w:i/>
          <w:sz w:val="21"/>
        </w:rPr>
        <w:t>American Journal of Sociology, 78</w:t>
      </w:r>
      <w:r>
        <w:rPr>
          <w:rFonts w:ascii="Calibri" w:hAnsi="Calibri"/>
          <w:i w:val="0"/>
          <w:sz w:val="21"/>
        </w:rPr>
        <w:t>(6), 1360–1380.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Kolb, D. A. (1984). </w:t>
      </w:r>
      <w:r>
        <w:rPr>
          <w:rFonts w:ascii="Calibri" w:hAnsi="Calibri"/>
          <w:i/>
          <w:sz w:val="21"/>
        </w:rPr>
        <w:t>Experiential learning: Experience as the source of learning and development</w:t>
      </w:r>
      <w:r>
        <w:rPr>
          <w:rFonts w:ascii="Calibri" w:hAnsi="Calibri"/>
          <w:i w:val="0"/>
          <w:sz w:val="21"/>
        </w:rPr>
        <w:t>. Prentice-Hall.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Lent, R. W., Brown, S. D., &amp; Hackett, G. (1994). Toward a unifying social cognitive theory of career and academic interest, choice, and performance. </w:t>
      </w:r>
      <w:r>
        <w:rPr>
          <w:rFonts w:ascii="Calibri" w:hAnsi="Calibri"/>
          <w:i/>
          <w:sz w:val="21"/>
        </w:rPr>
        <w:t>Journal of Vocational Behavior, 45</w:t>
      </w:r>
      <w:r>
        <w:rPr>
          <w:rFonts w:ascii="Calibri" w:hAnsi="Calibri"/>
          <w:i w:val="0"/>
          <w:sz w:val="21"/>
        </w:rPr>
        <w:t>(1), 79–122.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Norman, G. (2010). Likert scales, levels of measurement and the “laws” of statistics. </w:t>
      </w:r>
      <w:r>
        <w:rPr>
          <w:rFonts w:ascii="Calibri" w:hAnsi="Calibri"/>
          <w:i/>
          <w:sz w:val="21"/>
        </w:rPr>
        <w:t>Advances in Health Sciences Education, 15</w:t>
      </w:r>
      <w:r>
        <w:rPr>
          <w:rFonts w:ascii="Calibri" w:hAnsi="Calibri"/>
          <w:i w:val="0"/>
          <w:sz w:val="21"/>
        </w:rPr>
        <w:t>(5), 625–632.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Podsakoff, P. M., MacKenzie, S. B., Lee, J.-Y., &amp; Podsakoff, N. P. (2003). Common method biases in behavioral research. </w:t>
      </w:r>
      <w:r>
        <w:rPr>
          <w:rFonts w:ascii="Calibri" w:hAnsi="Calibri"/>
          <w:i/>
          <w:sz w:val="21"/>
        </w:rPr>
        <w:t>Journal of Applied Psychology, 88</w:t>
      </w:r>
      <w:r>
        <w:rPr>
          <w:rFonts w:ascii="Calibri" w:hAnsi="Calibri"/>
          <w:i w:val="0"/>
          <w:sz w:val="21"/>
        </w:rPr>
        <w:t>(5), 879–903.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Sullivan, G. M., &amp; Artino, A. R. (2013). Analyzing and interpreting data from Likert-type scales. </w:t>
      </w:r>
      <w:r>
        <w:rPr>
          <w:rFonts w:ascii="Calibri" w:hAnsi="Calibri"/>
          <w:i/>
          <w:sz w:val="21"/>
        </w:rPr>
        <w:t>Journal of Graduate Medical Education, 5</w:t>
      </w:r>
      <w:r>
        <w:rPr>
          <w:rFonts w:ascii="Calibri" w:hAnsi="Calibri"/>
          <w:i w:val="0"/>
          <w:sz w:val="21"/>
        </w:rPr>
        <w:t>(4), 541–542.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Tomlinson, M. (2017). Forms of graduate capital and their relationship to graduate employability. </w:t>
      </w:r>
      <w:r>
        <w:rPr>
          <w:rFonts w:ascii="Calibri" w:hAnsi="Calibri"/>
          <w:i/>
          <w:sz w:val="21"/>
        </w:rPr>
        <w:t>Education + Training, 59</w:t>
      </w:r>
      <w:r>
        <w:rPr>
          <w:rFonts w:ascii="Calibri" w:hAnsi="Calibri"/>
          <w:i w:val="0"/>
          <w:sz w:val="21"/>
        </w:rPr>
        <w:t>(4), 338–352.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Yorke, M. (2006). </w:t>
      </w:r>
      <w:r>
        <w:rPr>
          <w:rFonts w:ascii="Calibri" w:hAnsi="Calibri"/>
          <w:i/>
          <w:sz w:val="21"/>
        </w:rPr>
        <w:t>Employability in higher education: What it is – what it is not</w:t>
      </w:r>
      <w:r>
        <w:rPr>
          <w:rFonts w:ascii="Calibri" w:hAnsi="Calibri"/>
          <w:i w:val="0"/>
          <w:sz w:val="21"/>
        </w:rPr>
        <w:t>. Higher Education Academy.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Duoc UC, Escuela de Administración y Negocios, Sede San Bernardo (2026). </w:t>
      </w:r>
      <w:r>
        <w:rPr>
          <w:rFonts w:ascii="Calibri" w:hAnsi="Calibri"/>
          <w:i/>
          <w:sz w:val="21"/>
        </w:rPr>
        <w:t>Proyecto La Puerta: Informe metodológico y análisis prospectivo de brechas en habilidades blandas para la práctica profesional</w:t>
      </w:r>
      <w:r>
        <w:rPr>
          <w:rFonts w:ascii="Calibri" w:hAnsi="Calibri"/>
          <w:i w:val="0"/>
          <w:sz w:val="21"/>
        </w:rPr>
        <w:t xml:space="preserve"> [documento interno].</w:t>
      </w:r>
    </w:p>
    <w:p>
      <w:pPr>
        <w:spacing w:after="100" w:line="276" w:lineRule="auto"/>
        <w:ind w:left="567" w:hanging="567"/>
        <w:jc w:val="left"/>
      </w:pPr>
      <w:r>
        <w:rPr>
          <w:rFonts w:ascii="Calibri" w:hAnsi="Calibri"/>
          <w:i w:val="0"/>
          <w:sz w:val="21"/>
        </w:rPr>
        <w:t xml:space="preserve">Duoc UC (2026). </w:t>
      </w:r>
      <w:r>
        <w:rPr>
          <w:rFonts w:ascii="Calibri" w:hAnsi="Calibri"/>
          <w:i/>
          <w:sz w:val="21"/>
        </w:rPr>
        <w:t>Proyecto La Puerta: Base de datos y matriz de análisis (20261009_1658)</w:t>
      </w:r>
      <w:r>
        <w:rPr>
          <w:rFonts w:ascii="Calibri" w:hAnsi="Calibri"/>
          <w:i w:val="0"/>
          <w:sz w:val="21"/>
        </w:rPr>
        <w:t xml:space="preserve"> [base de datos interna, no publicada].</w:t>
      </w:r>
    </w:p>
    <w:p>
      <w:pPr>
        <w:pStyle w:val="Heading1"/>
        <w:pageBreakBefore/>
        <w:pBdr>
          <w:left w:val="single" w:sz="36" w:space="8" w:color="FFB800"/>
        </w:pBdr>
      </w:pPr>
      <w:r>
        <w:t>5. ANEXOS</w:t>
      </w:r>
    </w:p>
    <w:p>
      <w:pPr>
        <w:pStyle w:val="Heading3"/>
      </w:pPr>
      <w:r>
        <w:t>Anexo 1. Ficha técnica</w:t>
      </w:r>
    </w:p>
    <w:tbl>
      <w:tblPr>
        <w:tblW w:type="dxa" w:w="9355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2367"/>
        <w:gridCol w:w="6988"/>
      </w:tblGrid>
      <w:tr>
        <w:trPr>
          <w:tblHeader w:val="true"/>
        </w:trPr>
        <w:tc>
          <w:tcPr>
            <w:tcW w:type="dxa" w:w="2367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988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Detalle</w:t>
            </w:r>
          </w:p>
        </w:tc>
      </w:tr>
      <w:tr>
        <w:trPr>
          <w:cantSplit/>
        </w:trPr>
        <w:tc>
          <w:tcPr>
            <w:tcW w:type="dxa" w:w="236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Población y muestra</w:t>
            </w:r>
          </w:p>
        </w:tc>
        <w:tc>
          <w:tcPr>
            <w:tcW w:type="dxa" w:w="69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Estudiantes de Duoc UC Sede San Bernardo; 184 respuestas válidas (muestra voluntaria).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Fecha de aplicación</w:t>
            </w:r>
          </w:p>
        </w:tc>
        <w:tc>
          <w:tcPr>
            <w:tcW w:type="dxa" w:w="698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13 al 16 de octubre de 2026 (Google Forms).</w:t>
            </w:r>
          </w:p>
        </w:tc>
      </w:tr>
      <w:tr>
        <w:trPr>
          <w:cantSplit/>
        </w:trPr>
        <w:tc>
          <w:tcPr>
            <w:tcW w:type="dxa" w:w="236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Instrumento</w:t>
            </w:r>
          </w:p>
        </w:tc>
        <w:tc>
          <w:tcPr>
            <w:tcW w:type="dxa" w:w="69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15 afirmaciones tipo Likert (1–5, más «No sé/No aplica»), 3 preguntas de caracterización y 2 abiertas.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Escuelas</w:t>
            </w:r>
          </w:p>
        </w:tc>
        <w:tc>
          <w:tcPr>
            <w:tcW w:type="dxa" w:w="698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Administración y Negocios 181 · Ingeniería y Recursos Naturales 2 · Otra área 1.</w:t>
            </w:r>
          </w:p>
        </w:tc>
      </w:tr>
      <w:tr>
        <w:trPr>
          <w:cantSplit/>
        </w:trPr>
        <w:tc>
          <w:tcPr>
            <w:tcW w:type="dxa" w:w="236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Tratamiento de «No sé / No aplica»</w:t>
            </w:r>
          </w:p>
        </w:tc>
        <w:tc>
          <w:tcPr>
            <w:tcW w:type="dxa" w:w="69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Excluido del cálculo (no se imputó).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Puntajes</w:t>
            </w:r>
          </w:p>
        </w:tc>
        <w:tc>
          <w:tcPr>
            <w:tcW w:type="dxa" w:w="698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Promedios por ítem; dimensión = promedio de sus ítems disponibles; global = promedio de los 15 ítems.</w:t>
            </w:r>
          </w:p>
        </w:tc>
      </w:tr>
      <w:tr>
        <w:trPr>
          <w:cantSplit/>
        </w:trPr>
        <w:tc>
          <w:tcPr>
            <w:tcW w:type="dxa" w:w="236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Intervalos de confianza</w:t>
            </w:r>
          </w:p>
        </w:tc>
        <w:tc>
          <w:tcPr>
            <w:tcW w:type="dxa" w:w="69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Bootstrap percentil (4.000 remuestreos).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Fiabilidad</w:t>
            </w:r>
          </w:p>
        </w:tc>
        <w:tc>
          <w:tcPr>
            <w:tcW w:type="dxa" w:w="698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Alfa de Cronbach global = 0,93; D1 0,78, D2 0,83, D3 0,79, D4 0,64, D5 0,71.</w:t>
            </w:r>
          </w:p>
        </w:tc>
      </w:tr>
      <w:tr>
        <w:trPr>
          <w:cantSplit/>
        </w:trPr>
        <w:tc>
          <w:tcPr>
            <w:tcW w:type="dxa" w:w="236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Software</w:t>
            </w:r>
          </w:p>
        </w:tc>
        <w:tc>
          <w:tcPr>
            <w:tcW w:type="dxa" w:w="698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Python (pandas, SciPy, statsmodels, matplotlib). Código en la carpeta src del repositorio.</w:t>
            </w:r>
          </w:p>
        </w:tc>
      </w:tr>
      <w:tr>
        <w:trPr>
          <w:cantSplit/>
        </w:trPr>
        <w:tc>
          <w:tcPr>
            <w:tcW w:type="dxa" w:w="2367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Privacidad</w:t>
            </w:r>
          </w:p>
        </w:tc>
        <w:tc>
          <w:tcPr>
            <w:tcW w:type="dxa" w:w="698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No se incluyen correos, nombres ni códigos. La base original no se versiona.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p>
      <w:pPr>
        <w:pStyle w:val="Heading3"/>
      </w:pPr>
      <w:r>
        <w:t>Anexo 2. Verificación de robustez</w:t>
      </w:r>
    </w:p>
    <w:p>
      <w:r>
        <w:rPr>
          <w:rFonts w:ascii="Calibri" w:hAnsi="Calibri" w:eastAsia="Calibri"/>
        </w:rPr>
        <w:t>Se repitió la comparación «con vs. sin práctica previa» (puntaje global) en distintos subconjuntos, para ver si el resultado depende de quiénes se incluyen:</w:t>
      </w:r>
    </w:p>
    <w:tbl>
      <w:tblPr>
        <w:tblW w:type="dxa" w:w="9355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4170"/>
        <w:gridCol w:w="901"/>
        <w:gridCol w:w="2028"/>
        <w:gridCol w:w="2254"/>
      </w:tblGrid>
      <w:tr>
        <w:trPr>
          <w:tblHeader w:val="true"/>
        </w:trPr>
        <w:tc>
          <w:tcPr>
            <w:tcW w:type="dxa" w:w="4170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Subconjunto</w:t>
            </w:r>
          </w:p>
        </w:tc>
        <w:tc>
          <w:tcPr>
            <w:tcW w:type="dxa" w:w="902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n</w:t>
            </w:r>
          </w:p>
        </w:tc>
        <w:tc>
          <w:tcPr>
            <w:tcW w:type="dxa" w:w="2029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Diferencia (con – sin)</w:t>
            </w:r>
          </w:p>
        </w:tc>
        <w:tc>
          <w:tcPr>
            <w:tcW w:type="dxa" w:w="2254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Valor p (U de Mann-Whitney)</w:t>
            </w:r>
          </w:p>
        </w:tc>
      </w:tr>
      <w:tr>
        <w:trPr>
          <w:cantSplit/>
        </w:trPr>
        <w:tc>
          <w:tcPr>
            <w:tcW w:type="dxa" w:w="417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Base completa</w:t>
            </w:r>
          </w:p>
        </w:tc>
        <w:tc>
          <w:tcPr>
            <w:tcW w:type="dxa" w:w="90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184</w:t>
            </w:r>
          </w:p>
        </w:tc>
        <w:tc>
          <w:tcPr>
            <w:tcW w:type="dxa" w:w="202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+0,17</w:t>
            </w:r>
          </w:p>
        </w:tc>
        <w:tc>
          <w:tcPr>
            <w:tcW w:type="dxa" w:w="225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0,050</w:t>
            </w:r>
          </w:p>
        </w:tc>
      </w:tr>
      <w:tr>
        <w:trPr>
          <w:cantSplit/>
        </w:trPr>
        <w:tc>
          <w:tcPr>
            <w:tcW w:type="dxa" w:w="4170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Sin las 12 respuestas idénticas en todo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172</w:t>
            </w:r>
          </w:p>
        </w:tc>
        <w:tc>
          <w:tcPr>
            <w:tcW w:type="dxa" w:w="202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+0,21</w:t>
            </w:r>
          </w:p>
        </w:tc>
        <w:tc>
          <w:tcPr>
            <w:tcW w:type="dxa" w:w="225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0,011</w:t>
            </w:r>
          </w:p>
        </w:tc>
      </w:tr>
      <w:tr>
        <w:trPr>
          <w:cantSplit/>
        </w:trPr>
        <w:tc>
          <w:tcPr>
            <w:tcW w:type="dxa" w:w="417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Solo Administración y Negocios</w:t>
            </w:r>
          </w:p>
        </w:tc>
        <w:tc>
          <w:tcPr>
            <w:tcW w:type="dxa" w:w="90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181</w:t>
            </w:r>
          </w:p>
        </w:tc>
        <w:tc>
          <w:tcPr>
            <w:tcW w:type="dxa" w:w="202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+0,18</w:t>
            </w:r>
          </w:p>
        </w:tc>
        <w:tc>
          <w:tcPr>
            <w:tcW w:type="dxa" w:w="225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0,039</w:t>
            </w:r>
          </w:p>
        </w:tc>
      </w:tr>
      <w:tr>
        <w:trPr>
          <w:cantSplit/>
        </w:trPr>
        <w:tc>
          <w:tcPr>
            <w:tcW w:type="dxa" w:w="4170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Solo 1.º–2.º semestre</w:t>
            </w:r>
          </w:p>
        </w:tc>
        <w:tc>
          <w:tcPr>
            <w:tcW w:type="dxa" w:w="902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90</w:t>
            </w:r>
          </w:p>
        </w:tc>
        <w:tc>
          <w:tcPr>
            <w:tcW w:type="dxa" w:w="202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+0,07</w:t>
            </w:r>
          </w:p>
        </w:tc>
        <w:tc>
          <w:tcPr>
            <w:tcW w:type="dxa" w:w="2254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0,540</w:t>
            </w:r>
          </w:p>
        </w:tc>
      </w:tr>
      <w:tr>
        <w:trPr>
          <w:cantSplit/>
        </w:trPr>
        <w:tc>
          <w:tcPr>
            <w:tcW w:type="dxa" w:w="417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8"/>
              </w:rPr>
              <w:t>Con ≥ 12 ítems respondidos</w:t>
            </w:r>
          </w:p>
        </w:tc>
        <w:tc>
          <w:tcPr>
            <w:tcW w:type="dxa" w:w="90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180</w:t>
            </w:r>
          </w:p>
        </w:tc>
        <w:tc>
          <w:tcPr>
            <w:tcW w:type="dxa" w:w="202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+0,18</w:t>
            </w:r>
          </w:p>
        </w:tc>
        <w:tc>
          <w:tcPr>
            <w:tcW w:type="dxa" w:w="225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 w:eastAsia="Calibri"/>
                <w:sz w:val="18"/>
              </w:rPr>
              <w:t>0,043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p>
      <w:r>
        <w:rPr>
          <w:rFonts w:ascii="Calibri" w:hAnsi="Calibri" w:eastAsia="Calibri"/>
          <w:sz w:val="19"/>
        </w:rPr>
        <w:t>La diferencia se mantiene entre +0,17 y +0,21 puntos al excluir respuestas idénticas o la escuela minoritaria. Dentro del primer año (donde práctica y año no se mezclan) cae a +0,07, lo que sugiere que parte de la diferencia refleja el avance en la carrera.</w:t>
      </w:r>
    </w:p>
    <w:p>
      <w:pPr>
        <w:pStyle w:val="Heading3"/>
      </w:pPr>
      <w:r>
        <w:t>Declaración sobre el uso de Inteligencia Artificial</w:t>
      </w:r>
    </w:p>
    <w:p>
      <w:r>
        <w:rPr>
          <w:rFonts w:ascii="Calibri" w:hAnsi="Calibri" w:eastAsia="Calibri"/>
          <w:sz w:val="21"/>
        </w:rPr>
        <w:t xml:space="preserve">Este documento se elaboró con apoyo de </w:t>
      </w:r>
      <w:r>
        <w:rPr>
          <w:rFonts w:ascii="Calibri" w:hAnsi="Calibri" w:eastAsia="Calibri"/>
          <w:b/>
          <w:sz w:val="21"/>
        </w:rPr>
        <w:t>Claude (Anthropic)</w:t>
      </w:r>
      <w:r>
        <w:rPr>
          <w:rFonts w:ascii="Calibri" w:hAnsi="Calibri" w:eastAsia="Calibri"/>
          <w:sz w:val="21"/>
        </w:rPr>
        <w:t>, un modelo de Inteligencia Artificial generativa, entre octubre de 2026. A continuación se indica con transparencia qué hizo la herramienta y qué debe revisar una persona.</w:t>
      </w:r>
    </w:p>
    <w:tbl>
      <w:tblPr>
        <w:tblW w:type="dxa" w:w="9355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firstColumn="1" w:firstRow="1" w:lastColumn="0" w:lastRow="0" w:noHBand="0" w:noVBand="1" w:val="04A0"/>
      </w:tblPr>
      <w:tblGrid>
        <w:gridCol w:w="1927"/>
        <w:gridCol w:w="3969"/>
        <w:gridCol w:w="3458"/>
      </w:tblGrid>
      <w:tr>
        <w:trPr>
          <w:tblHeader w:val="true"/>
        </w:trPr>
        <w:tc>
          <w:tcPr>
            <w:tcW w:type="dxa" w:w="1928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Tarea</w:t>
            </w:r>
          </w:p>
        </w:tc>
        <w:tc>
          <w:tcPr>
            <w:tcW w:type="dxa" w:w="3969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Qué hizo la IA</w:t>
            </w:r>
          </w:p>
        </w:tc>
        <w:tc>
          <w:tcPr>
            <w:tcW w:type="dxa" w:w="3458"/>
            <w:shd w:val="clear" w:color="auto" w:fill="1A1A1A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Qué debe revisar o decidir una persona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Datos y cálculos</w:t>
            </w:r>
          </w:p>
        </w:tc>
        <w:tc>
          <w:tcPr>
            <w:tcW w:type="dxa" w:w="396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Limpió la base y calculó promedios, porcentajes, comparaciones y gráficos con código (Python) guardado en la carpeta `src` del repositorio.</w:t>
            </w:r>
          </w:p>
        </w:tc>
        <w:tc>
          <w:tcPr>
            <w:tcW w:type="dxa" w:w="345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Revisar los scripts y repetir los cálculos ante cualquier duda. Los resultados son reproducibles.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Tarea específica de este documento</w:t>
            </w:r>
          </w:p>
        </w:tc>
        <w:tc>
          <w:tcPr>
            <w:tcW w:type="dxa" w:w="396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Apoyar el diseño de las visualizaciones y la redacción en lenguaje claro, adaptando los hallazgos a públicos no especializados.</w:t>
            </w:r>
          </w:p>
        </w:tc>
        <w:tc>
          <w:tcPr>
            <w:tcW w:type="dxa" w:w="345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Validar que el enfoque y las conclusiones correspondan al propósito del proyecto.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Respuestas abiertas</w:t>
            </w:r>
          </w:p>
        </w:tc>
        <w:tc>
          <w:tcPr>
            <w:tcW w:type="dxa" w:w="396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Las agrupó por temas de forma automática (clasificación preliminar).</w:t>
            </w:r>
          </w:p>
        </w:tc>
        <w:tc>
          <w:tcPr>
            <w:tcW w:type="dxa" w:w="345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Doble lectura humana y libro de códigos antes de citar conteos.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Redacción y diseño</w:t>
            </w:r>
          </w:p>
        </w:tc>
        <w:tc>
          <w:tcPr>
            <w:tcW w:type="dxa" w:w="396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Redactó, organizó y diseñó tablas, gráficos, diagramas e infografías (ilustraciones propias, sin fotografías de personas).</w:t>
            </w:r>
          </w:p>
        </w:tc>
        <w:tc>
          <w:tcPr>
            <w:tcW w:type="dxa" w:w="345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Revisar el tono, el contenido y la adecuación institucional (por ejemplo, insertar el logo oficial).</w:t>
            </w:r>
          </w:p>
        </w:tc>
      </w:tr>
      <w:tr>
        <w:trPr>
          <w:cantSplit/>
        </w:trPr>
        <w:tc>
          <w:tcPr>
            <w:tcW w:type="dxa" w:w="192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Bibliografía</w:t>
            </w:r>
          </w:p>
        </w:tc>
        <w:tc>
          <w:tcPr>
            <w:tcW w:type="dxa" w:w="396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Seleccionó las referencias a partir de su conocimiento de la literatura y, cuando se indica, de resúmenes encontrados en la web.</w:t>
            </w:r>
          </w:p>
        </w:tc>
        <w:tc>
          <w:tcPr>
            <w:tcW w:type="dxa" w:w="345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Verificar autores, volumen, páginas y DOI en la fuente antes de publicar. Lo no verificado está marcado.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/>
                <w:sz w:val="17"/>
              </w:rPr>
              <w:t>Datos personales</w:t>
            </w:r>
          </w:p>
        </w:tc>
        <w:tc>
          <w:tcPr>
            <w:tcW w:type="dxa" w:w="3969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No se incluyeron nombres, correos ni códigos de estudiantes; las citas textuales son anónimas.</w:t>
            </w:r>
          </w:p>
        </w:tc>
        <w:tc>
          <w:tcPr>
            <w:tcW w:type="dxa" w:w="3458"/>
            <w:shd w:val="clear" w:color="auto" w:fill="EEEE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sz w:val="17"/>
              </w:rPr>
              <w:t>Mantener la confidencialidad al difundir.</w:t>
            </w:r>
          </w:p>
        </w:tc>
      </w:tr>
    </w:tbl>
    <w:p>
      <w:pPr>
        <w:spacing w:after="240" w:line="240" w:lineRule="auto"/>
      </w:pPr>
      <w:r>
        <w:rPr>
          <w:sz w:val="8"/>
        </w:rPr>
        <w:t xml:space="preserve"> </w:t>
      </w:r>
    </w:p>
    <w:tbl>
      <w:tblPr>
        <w:tblW w:type="dxa" w:w="935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355"/>
      </w:tblGrid>
      <w:tr>
        <w:trPr>
          <w:cantSplit/>
        </w:trPr>
        <w:tc>
          <w:tcPr>
            <w:tcW w:type="dxa" w:w="9354"/>
            <w:tcBorders>
              <w:top w:val="nil"/>
              <w:left w:val="single" w:sz="32" w:color="FFB800"/>
              <w:bottom w:val="nil"/>
              <w:right w:val="nil"/>
            </w:tcBorders>
            <w:shd w:val="clear" w:color="auto" w:fill="EEEEEE"/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b/>
                <w:color w:val="1A1A1A"/>
                <w:sz w:val="21"/>
              </w:rPr>
              <w:t>Responsabilidad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 xml:space="preserve">La IA </w:t>
            </w:r>
            <w:r>
              <w:rPr>
                <w:rFonts w:ascii="Calibri" w:hAnsi="Calibri" w:eastAsia="Calibri"/>
                <w:b/>
                <w:sz w:val="20"/>
              </w:rPr>
              <w:t>no reemplaza el juicio experto</w:t>
            </w:r>
            <w:r>
              <w:rPr>
                <w:rFonts w:ascii="Calibri" w:hAnsi="Calibri" w:eastAsia="Calibri"/>
                <w:sz w:val="20"/>
              </w:rPr>
              <w:t xml:space="preserve"> ni asume responsabilidad por las decisiones. Las interpretaciones y recomendaciones deben ser revisadas y asumidas por el equipo responsable del Proyecto La Puerta antes de su difusión institucional.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Calibri" w:hAnsi="Calibri" w:eastAsia="Calibri"/>
                <w:sz w:val="20"/>
              </w:rPr>
              <w:t>Si algún dato de este documento no coincide con las fuentes, prevalecen las fuentes originales.</w:t>
            </w:r>
          </w:p>
        </w:tc>
      </w:tr>
    </w:tbl>
    <w:p>
      <w:pPr>
        <w:spacing w:after="200" w:line="240" w:lineRule="auto"/>
      </w:pPr>
      <w:r>
        <w:rPr>
          <w:sz w:val="8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40" w:lineRule="auto"/>
      <w:jc w:val="right"/>
    </w:pPr>
    <w:r>
      <w:rPr>
        <w:rFonts w:ascii="Calibri" w:hAnsi="Calibri" w:eastAsia="Calibri"/>
        <w:color w:val="666666"/>
        <w:sz w:val="18"/>
      </w:rPr>
      <w:t xml:space="preserve">Duoc UC · Proyecto La Puerta · Página </w:t>
    </w:r>
    <w:r>
      <w:rPr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40" w:lineRule="auto"/>
      <w:jc w:val="left"/>
    </w:pPr>
    <w:r>
      <w:rPr>
        <w:rFonts w:ascii="Calibri" w:hAnsi="Calibri" w:eastAsia="Calibri"/>
        <w:color w:val="666666"/>
        <w:sz w:val="18"/>
      </w:rPr>
      <w:t>Proyecto La Puerta · Informe A · Análisis descriptivo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60" w:lineRule="auto"/>
      <w:jc w:val="both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40" w:line="276" w:lineRule="auto"/>
      <w:jc w:val="left"/>
      <w:outlineLvl w:val="0"/>
    </w:pPr>
    <w:rPr>
      <w:rFonts w:ascii="Calibri" w:hAnsi="Calibri" w:eastAsia="Calibri" w:cs="Calibri"/>
      <w:b/>
      <w:bCs/>
      <w:i w:val="0"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240" w:line="276" w:lineRule="auto"/>
      <w:jc w:val="left"/>
      <w:outlineLvl w:val="1"/>
    </w:pPr>
    <w:rPr>
      <w:rFonts w:ascii="Calibri" w:hAnsi="Calibri" w:eastAsia="Calibri" w:cs="Calibri"/>
      <w:b/>
      <w:bCs/>
      <w:i w:val="0"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240" w:line="276" w:lineRule="auto"/>
      <w:jc w:val="left"/>
      <w:outlineLvl w:val="2"/>
    </w:pPr>
    <w:rPr>
      <w:rFonts w:ascii="Calibri" w:hAnsi="Calibri" w:eastAsia="Calibri" w:cs="Calibri"/>
      <w:b/>
      <w:bCs/>
      <w:i w:val="0"/>
      <w:color w:val="6666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240" w:line="276" w:lineRule="auto"/>
      <w:jc w:val="left"/>
      <w:outlineLvl w:val="3"/>
    </w:pPr>
    <w:rPr>
      <w:rFonts w:ascii="Calibri" w:hAnsi="Calibri" w:eastAsia="Calibri" w:cs="Calibri"/>
      <w:b/>
      <w:bCs/>
      <w:i w:val="0"/>
      <w:iCs/>
      <w:color w:val="66666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