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1814" w:hRule="exact"/>
        </w:trPr>
        <w:tc>
          <w:tcPr>
            <w:tcW w:type="dxa" w:w="9354"/>
          </w:tcPr>
          <w:p>
            <w:pPr>
              <w:spacing w:after="0"/>
            </w:pPr>
          </w:p>
          <w:tbl>
            <w:tblPr>
              <w:tblW w:type="dxa" w:w="2948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948"/>
            </w:tblGrid>
            <w:tr>
              <w:tc>
                <w:tcPr>
                  <w:tcW w:type="dxa" w:w="2948"/>
                  <w:tcBorders>
                    <w:top w:val="single" w:sz="6" w:color="999999"/>
                    <w:left w:val="single" w:sz="6" w:color="999999"/>
                    <w:bottom w:val="single" w:sz="6" w:color="999999"/>
                    <w:right w:val="single" w:sz="6" w:color="999999"/>
                  </w:tcBorders>
                  <w:tcMar>
                    <w:top w:w="160" w:type="dxa"/>
                    <w:left w:w="120" w:type="dxa"/>
                    <w:bottom w:w="160" w:type="dxa"/>
                    <w:right w:w="120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Calibri" w:hAnsi="Calibri" w:eastAsia="Calibri"/>
                      <w:color w:val="666666"/>
                      <w:sz w:val="18"/>
                    </w:rPr>
                    <w:t>[Insertar logo Duoc UC]</w:t>
                  </w:r>
                </w:p>
              </w:tc>
            </w:tr>
          </w:tbl>
          <w:p/>
        </w:tc>
      </w:tr>
      <w:tr>
        <w:trPr>
          <w:trHeight w:val="6010" w:hRule="exact"/>
        </w:trPr>
        <w:tc>
          <w:tcPr>
            <w:tcW w:type="dxa" w:w="9354"/>
            <w:vAlign w:val="center"/>
          </w:tcPr>
          <w:p>
            <w:pPr>
              <w:pBdr>
                <w:bottom w:val="single" w:sz="24" w:space="10" w:color="FFB800"/>
              </w:pBdr>
              <w:spacing w:after="200" w:line="276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28"/>
              </w:rPr>
              <w:t>PROYECTO LA PUERTA: INFORME DE AUDITORÍA Y VERIFICACIÓN</w:t>
            </w:r>
          </w:p>
          <w:p>
            <w:pPr>
              <w:spacing w:before="200" w:line="276" w:lineRule="auto"/>
              <w:jc w:val="center"/>
            </w:pPr>
            <w:r>
              <w:rPr>
                <w:rFonts w:ascii="Calibri" w:hAnsi="Calibri" w:eastAsia="Calibri"/>
                <w:color w:val="666666"/>
                <w:sz w:val="24"/>
              </w:rPr>
              <w:t>Revisión documental de los productos del Proyecto La Puerta: exactitud, coherencia, formato y fuentes</w:t>
            </w:r>
          </w:p>
        </w:tc>
      </w:tr>
      <w:tr>
        <w:trPr>
          <w:trHeight w:val="4876" w:hRule="exact"/>
        </w:trPr>
        <w:tc>
          <w:tcPr>
            <w:tcW w:type="dxa" w:w="9354"/>
            <w:vAlign w:val="bottom"/>
          </w:tcPr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Autor y docente responsable: Juan Antonio Carrasco Navarrete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Escuela de Administración y Negocios · Sede San Bernardo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Proyecto La Puerta · Producto K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Octubre de 2026</w:t>
            </w:r>
          </w:p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Elaborado con apoyo de herramientas de Inteligencia Artificial (véase Anexos)</w:t>
            </w:r>
          </w:p>
        </w:tc>
      </w:tr>
    </w:tbl>
    <w:p>
      <w:pPr>
        <w:pStyle w:val="Heading1"/>
        <w:pageBreakBefore/>
        <w:pBdr>
          <w:left w:val="single" w:sz="36" w:space="8" w:color="FFB800"/>
        </w:pBdr>
      </w:pPr>
      <w:r>
        <w:t>Índice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1. INTRODUCCIÓN</w:t>
      </w:r>
      <w:r>
        <w:rPr>
          <w:rFonts w:ascii="Calibri" w:hAnsi="Calibri" w:eastAsia="Calibri"/>
          <w:b/>
          <w:color w:val="1A1A1A"/>
          <w:sz w:val="22"/>
        </w:rPr>
        <w:tab/>
        <w:t>3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1.1 Tema, contexto y objetivos</w:t>
      </w:r>
      <w:r>
        <w:rPr>
          <w:rFonts w:ascii="Calibri" w:hAnsi="Calibri" w:eastAsia="Calibri"/>
          <w:color w:val="1A1A1A"/>
          <w:sz w:val="22"/>
        </w:rPr>
        <w:tab/>
        <w:t>3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1.2 Resultado de la auditoría en una página</w:t>
      </w:r>
      <w:r>
        <w:rPr>
          <w:rFonts w:ascii="Calibri" w:hAnsi="Calibri" w:eastAsia="Calibri"/>
          <w:color w:val="1A1A1A"/>
          <w:sz w:val="22"/>
        </w:rPr>
        <w:tab/>
        <w:t>4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2. DESARROLLO</w:t>
      </w:r>
      <w:r>
        <w:rPr>
          <w:rFonts w:ascii="Calibri" w:hAnsi="Calibri" w:eastAsia="Calibri"/>
          <w:b/>
          <w:color w:val="1A1A1A"/>
          <w:sz w:val="22"/>
        </w:rPr>
        <w:tab/>
        <w:t>5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2.1 Alcance y método</w:t>
      </w:r>
      <w:r>
        <w:rPr>
          <w:rFonts w:ascii="Calibri" w:hAnsi="Calibri" w:eastAsia="Calibri"/>
          <w:color w:val="1A1A1A"/>
          <w:sz w:val="22"/>
        </w:rPr>
        <w:tab/>
        <w:t>5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2.2 Verificación de cifras</w:t>
      </w:r>
      <w:r>
        <w:rPr>
          <w:rFonts w:ascii="Calibri" w:hAnsi="Calibri" w:eastAsia="Calibri"/>
          <w:color w:val="1A1A1A"/>
          <w:sz w:val="22"/>
        </w:rPr>
        <w:tab/>
        <w:t>5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2.3 Verificación de fuentes y referencias</w:t>
      </w:r>
      <w:r>
        <w:rPr>
          <w:rFonts w:ascii="Calibri" w:hAnsi="Calibri" w:eastAsia="Calibri"/>
          <w:color w:val="1A1A1A"/>
          <w:sz w:val="22"/>
        </w:rPr>
        <w:tab/>
        <w:t>6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2.4 Cumplimiento del formato Duoc UC</w:t>
      </w:r>
      <w:r>
        <w:rPr>
          <w:rFonts w:ascii="Calibri" w:hAnsi="Calibri" w:eastAsia="Calibri"/>
          <w:color w:val="1A1A1A"/>
          <w:sz w:val="22"/>
        </w:rPr>
        <w:tab/>
        <w:t>6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2.5 Coherencia entre productos</w:t>
      </w:r>
      <w:r>
        <w:rPr>
          <w:rFonts w:ascii="Calibri" w:hAnsi="Calibri" w:eastAsia="Calibri"/>
          <w:color w:val="1A1A1A"/>
          <w:sz w:val="22"/>
        </w:rPr>
        <w:tab/>
        <w:t>7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2.6 Hallazgos y correcciones</w:t>
      </w:r>
      <w:r>
        <w:rPr>
          <w:rFonts w:ascii="Calibri" w:hAnsi="Calibri" w:eastAsia="Calibri"/>
          <w:color w:val="1A1A1A"/>
          <w:sz w:val="22"/>
        </w:rPr>
        <w:tab/>
        <w:t>8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2.7 Riesgos residuales</w:t>
      </w:r>
      <w:r>
        <w:rPr>
          <w:rFonts w:ascii="Calibri" w:hAnsi="Calibri" w:eastAsia="Calibri"/>
          <w:color w:val="1A1A1A"/>
          <w:sz w:val="22"/>
        </w:rPr>
        <w:tab/>
        <w:t>9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3. CONCLUSIÓN</w:t>
      </w:r>
      <w:r>
        <w:rPr>
          <w:rFonts w:ascii="Calibri" w:hAnsi="Calibri" w:eastAsia="Calibri"/>
          <w:b/>
          <w:color w:val="1A1A1A"/>
          <w:sz w:val="22"/>
        </w:rPr>
        <w:tab/>
        <w:t>10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3.1 Opinión de auditoría</w:t>
      </w:r>
      <w:r>
        <w:rPr>
          <w:rFonts w:ascii="Calibri" w:hAnsi="Calibri" w:eastAsia="Calibri"/>
          <w:color w:val="1A1A1A"/>
          <w:sz w:val="22"/>
        </w:rPr>
        <w:tab/>
        <w:t>10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3.2 Controles recomendados antes de difundir</w:t>
      </w:r>
      <w:r>
        <w:rPr>
          <w:rFonts w:ascii="Calibri" w:hAnsi="Calibri" w:eastAsia="Calibri"/>
          <w:color w:val="1A1A1A"/>
          <w:sz w:val="22"/>
        </w:rPr>
        <w:tab/>
        <w:t>10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4. REFERENCIAS</w:t>
      </w:r>
      <w:r>
        <w:rPr>
          <w:rFonts w:ascii="Calibri" w:hAnsi="Calibri" w:eastAsia="Calibri"/>
          <w:b/>
          <w:color w:val="1A1A1A"/>
          <w:sz w:val="22"/>
        </w:rPr>
        <w:tab/>
        <w:t>11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5. ANEXOS</w:t>
      </w:r>
      <w:r>
        <w:rPr>
          <w:rFonts w:ascii="Calibri" w:hAnsi="Calibri" w:eastAsia="Calibri"/>
          <w:b/>
          <w:color w:val="1A1A1A"/>
          <w:sz w:val="22"/>
        </w:rPr>
        <w:tab/>
        <w:t>12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5.1 Detalle de las verificaciones numéricas</w:t>
      </w:r>
      <w:r>
        <w:rPr>
          <w:rFonts w:ascii="Calibri" w:hAnsi="Calibri" w:eastAsia="Calibri"/>
          <w:color w:val="1A1A1A"/>
          <w:sz w:val="22"/>
        </w:rPr>
        <w:tab/>
        <w:t>12</w:t>
      </w:r>
    </w:p>
    <w:p>
      <w:pPr>
        <w:pStyle w:val="Heading1"/>
        <w:pageBreakBefore/>
        <w:pBdr>
          <w:left w:val="single" w:sz="36" w:space="8" w:color="FFB800"/>
        </w:pBdr>
      </w:pPr>
      <w:r>
        <w:t>1. INTRODUCCIÓN</w:t>
      </w:r>
    </w:p>
    <w:p>
      <w:pPr>
        <w:pStyle w:val="Heading2"/>
        <w:pBdr>
          <w:left w:val="single" w:sz="28" w:space="8" w:color="FFB800"/>
        </w:pBdr>
      </w:pPr>
      <w:r>
        <w:t>1.1 Tema, contexto y objetivos</w:t>
      </w:r>
    </w:p>
    <w:p>
      <w:pPr>
        <w:pStyle w:val="Heading3"/>
      </w:pPr>
      <w:r>
        <w:t>Tema</w:t>
      </w:r>
    </w:p>
    <w:p>
      <w:r>
        <w:rPr>
          <w:rFonts w:ascii="Calibri" w:hAnsi="Calibri" w:eastAsia="Calibri"/>
        </w:rPr>
        <w:t>La verificación de la exactitud de las cifras, la coherencia entre documentos, el cumplimiento del formato Duoc UC y el estado de las fuentes de los diez productos del Proyecto La Puerta (A, B, C, D, E, F, G, H, I y J).</w:t>
      </w:r>
    </w:p>
    <w:p>
      <w:pPr>
        <w:pStyle w:val="Heading3"/>
      </w:pPr>
      <w:r>
        <w:t>Contexto</w:t>
      </w:r>
    </w:p>
    <w:p>
      <w:r>
        <w:rPr>
          <w:rFonts w:ascii="Calibri" w:hAnsi="Calibri" w:eastAsia="Calibri"/>
        </w:rPr>
        <w:t>Los productos se elaboraron en varias etapas y se modificaron después (formato Duoc UC, estudio paralelo, bibliografía y transparencia sobre IA). Antes de difundirlos conviene comprobar que lo que dicen coincide con los datos, que no se contradicen entre sí y que sus fuentes son sólidas.</w:t>
      </w:r>
    </w:p>
    <w:p>
      <w:pPr>
        <w:pStyle w:val="Heading3"/>
      </w:pPr>
      <w:r>
        <w:t>Objetivos</w:t>
      </w:r>
    </w:p>
    <w:p>
      <w:r>
        <w:rPr>
          <w:rFonts w:ascii="Calibri" w:hAnsi="Calibri" w:eastAsia="Calibri"/>
          <w:b/>
        </w:rPr>
        <w:t>Objetivo general.</w:t>
      </w:r>
      <w:r>
        <w:rPr>
          <w:rFonts w:ascii="Calibri" w:hAnsi="Calibri" w:eastAsia="Calibri"/>
        </w:rPr>
        <w:t xml:space="preserve"> Verificar la información de los productos, corregir lo que no esté correcto y dejar constancia de lo que sigue pendiente.</w:t>
      </w:r>
    </w:p>
    <w:p>
      <w:pPr>
        <w:spacing w:after="40"/>
      </w:pPr>
      <w:r>
        <w:rPr>
          <w:rFonts w:ascii="Calibri" w:hAnsi="Calibri" w:eastAsia="Calibri"/>
          <w:b/>
        </w:rPr>
        <w:t>Objetivos específicos: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Recalcular las cifras clave con un método independiente y compararlas con las publicadas.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Revisar que el texto, las referencias cruzadas y los términos sean coherentes entre productos.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Comprobar el cumplimiento del formato y la paleta Duoc UC.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Revisar el estado de cada fuente bibliográfica y la transparencia sobre el uso de IA.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Listar hallazgos, correcciones y riesgos que persisten.</w:t>
      </w:r>
    </w:p>
    <w:p>
      <w:pPr>
        <w:pStyle w:val="Heading3"/>
      </w:pPr>
      <w:r>
        <w:t>Organización del texto</w:t>
      </w:r>
    </w:p>
    <w:p>
      <w:r>
        <w:rPr>
          <w:rFonts w:ascii="Calibri" w:hAnsi="Calibri" w:eastAsia="Calibri"/>
        </w:rPr>
        <w:t>El documento se organiza en cinco partes: la Introducción (resultado en una página); el Desarrollo (alcance y método, verificación de cifras, verificación de fuentes, cumplimiento del formato, coherencia entre productos, hallazgos y riesgos residuales); la Conclusión (opinión de auditoría y controles recomendados); las Referencias; y los Anexos (detalle de las verificaciones numéricas y declaración de uso de IA).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Uso de Inteligencia Artificial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Este documento se elaboró con apoyo de IA (Claude, Anthropic). En los Anexos se detalla qué hizo la herramienta y qué debe revisar una persona, y en las Referencias se indica qué fuentes están verificadas.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1.2 Resultado de la auditoría en una página</w:t>
      </w:r>
    </w:p>
    <w:tbl>
      <w:tblPr>
        <w:tblW w:type="dxa" w:w="935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90/90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cifras recalculadas</w:t>
              <w:br/>
              <w:t>que coinciden</w:t>
            </w:r>
          </w:p>
        </w:tc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10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hallazgos</w:t>
              <w:br/>
              <w:t>registrados</w:t>
            </w:r>
          </w:p>
        </w:tc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10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corregidos</w:t>
              <w:br/>
              <w:t>en esta revisión</w:t>
            </w:r>
          </w:p>
        </w:tc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3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pendientes</w:t>
              <w:br/>
              <w:t>de confirmar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Opinión de auditoría: aprobado con observaciones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Las cifras de los productos </w:t>
            </w:r>
            <w:r>
              <w:rPr>
                <w:rFonts w:ascii="Calibri" w:hAnsi="Calibri" w:eastAsia="Calibri"/>
                <w:b/>
                <w:sz w:val="20"/>
              </w:rPr>
              <w:t>coinciden con la base de datos original</w:t>
            </w:r>
            <w:r>
              <w:rPr>
                <w:rFonts w:ascii="Calibri" w:hAnsi="Calibri" w:eastAsia="Calibri"/>
                <w:sz w:val="20"/>
              </w:rPr>
              <w:t xml:space="preserve"> (recálculo independiente sin diferencias). Los hallazgos de forma y de redacción detectados se corrigieron y se regeneraron los productos.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Quedan </w:t>
            </w:r>
            <w:r>
              <w:rPr>
                <w:rFonts w:ascii="Calibri" w:hAnsi="Calibri" w:eastAsia="Calibri"/>
                <w:b/>
                <w:sz w:val="20"/>
              </w:rPr>
              <w:t>tres pendientes que no se pueden cerrar desde esta revisión</w:t>
            </w:r>
            <w:r>
              <w:rPr>
                <w:rFonts w:ascii="Calibri" w:hAnsi="Calibri" w:eastAsia="Calibri"/>
                <w:sz w:val="20"/>
              </w:rPr>
              <w:t>: insertar el logo oficial de Duoc UC, confirmar algunos datos de dos referencias externas y validar con doble lectura humana la clasificación de respuestas abiertas.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Límite importante:</w:t>
            </w:r>
            <w:r>
              <w:rPr>
                <w:rFonts w:ascii="Calibri" w:hAnsi="Calibri" w:eastAsia="Calibri"/>
                <w:sz w:val="20"/>
              </w:rPr>
              <w:t xml:space="preserve"> esta revisión la hizo la misma herramienta de IA que elaboró los productos. No es una auditoría independiente; se recomienda una revisión humana antes de difundirlos.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1"/>
        <w:pageBreakBefore/>
        <w:pBdr>
          <w:left w:val="single" w:sz="36" w:space="8" w:color="FFB800"/>
        </w:pBdr>
      </w:pPr>
      <w:r>
        <w:t>2. DESARROLLO</w:t>
      </w:r>
    </w:p>
    <w:p>
      <w:pPr>
        <w:pStyle w:val="Heading2"/>
        <w:pBdr>
          <w:left w:val="single" w:sz="28" w:space="8" w:color="FFB800"/>
        </w:pBdr>
      </w:pPr>
      <w:r>
        <w:t>2.1 Alcance y método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4876"/>
        <w:gridCol w:w="2551"/>
      </w:tblGrid>
      <w:tr>
        <w:trPr>
          <w:tblHeader w:val="true"/>
        </w:trPr>
        <w:tc>
          <w:tcPr>
            <w:tcW w:type="dxa" w:w="192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Procedimiento</w:t>
            </w:r>
          </w:p>
        </w:tc>
        <w:tc>
          <w:tcPr>
            <w:tcW w:type="dxa" w:w="4876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Qué se hizo</w:t>
            </w:r>
          </w:p>
        </w:tc>
        <w:tc>
          <w:tcPr>
            <w:tcW w:type="dxa" w:w="2551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Recálculo independiente</w:t>
            </w:r>
          </w:p>
        </w:tc>
        <w:tc>
          <w:tcPr>
            <w:tcW w:type="dxa" w:w="487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Se recalcularon 90 cifras (ítems, dimensiones, pruebas, semáforo, calidad de datos) desde la base original con un camino de cálculo distinto del usado para los informes.</w:t>
            </w:r>
          </w:p>
        </w:tc>
        <w:tc>
          <w:tcPr>
            <w:tcW w:type="dxa" w:w="255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Script `src/auditoria_datos.py`; resultados en `auditoria_datos.json`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Contraste texto–datos</w:t>
            </w:r>
          </w:p>
        </w:tc>
        <w:tc>
          <w:tcPr>
            <w:tcW w:type="dxa" w:w="487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Las cifras del texto provienen del mismo archivo de resultados; las cifras escritas a mano se revisaron una a una contra los datos.</w:t>
            </w:r>
          </w:p>
        </w:tc>
        <w:tc>
          <w:tcPr>
            <w:tcW w:type="dxa" w:w="255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Revisión de los scripts de cada producto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Coherencia entre productos</w:t>
            </w:r>
          </w:p>
        </w:tc>
        <w:tc>
          <w:tcPr>
            <w:tcW w:type="dxa" w:w="487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Se revisaron referencias cruzadas (capítulos, anexos, códigos R1 a R8), términos y cifras repetidas.</w:t>
            </w:r>
          </w:p>
        </w:tc>
        <w:tc>
          <w:tcPr>
            <w:tcW w:type="dxa" w:w="255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Búsqueda sistemática en los textos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Formato Duoc UC</w:t>
            </w:r>
          </w:p>
        </w:tc>
        <w:tc>
          <w:tcPr>
            <w:tcW w:type="dxa" w:w="487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Se inspeccionó el archivo de cada documento (tamaño, márgenes, tipografía, interlineado, colores) y su vista en PDF.</w:t>
            </w:r>
          </w:p>
        </w:tc>
        <w:tc>
          <w:tcPr>
            <w:tcW w:type="dxa" w:w="255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Verificación del XML y revisión visual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Fuentes</w:t>
            </w:r>
          </w:p>
        </w:tc>
        <w:tc>
          <w:tcPr>
            <w:tcW w:type="dxa" w:w="487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Se comprobó que cada autor citado esté en las referencias y se buscó en línea el registro de las fuentes externas.</w:t>
            </w:r>
          </w:p>
        </w:tc>
        <w:tc>
          <w:tcPr>
            <w:tcW w:type="dxa" w:w="255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Búsquedas web del 18 y 19 de octubre de 2026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Transparencia sobre IA</w:t>
            </w:r>
          </w:p>
        </w:tc>
        <w:tc>
          <w:tcPr>
            <w:tcW w:type="dxa" w:w="487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Se comprobó que cada producto tenga declaración de uso de IA y bibliografía.</w:t>
            </w:r>
          </w:p>
        </w:tc>
        <w:tc>
          <w:tcPr>
            <w:tcW w:type="dxa" w:w="255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Lectura de cada producto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r>
        <w:rPr>
          <w:rFonts w:ascii="Calibri" w:hAnsi="Calibri" w:eastAsia="Calibri"/>
          <w:color w:val="666666"/>
          <w:sz w:val="20"/>
        </w:rPr>
        <w:t>Escala de severidad: Alta (cambia una conclusión o una cifra), Media (puede inducir a error o afecta la trazabilidad) y Baja (forma o redacción).</w:t>
      </w:r>
    </w:p>
    <w:p>
      <w:pPr>
        <w:pStyle w:val="Heading2"/>
        <w:pBdr>
          <w:left w:val="single" w:sz="28" w:space="8" w:color="FFB800"/>
        </w:pBdr>
      </w:pPr>
      <w:r>
        <w:t>2.2 Verificación de cifras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5443"/>
        <w:gridCol w:w="1927"/>
        <w:gridCol w:w="1984"/>
      </w:tblGrid>
      <w:tr>
        <w:trPr>
          <w:tblHeader w:val="true"/>
        </w:trPr>
        <w:tc>
          <w:tcPr>
            <w:tcW w:type="dxa" w:w="5443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Bloque verificado</w:t>
            </w:r>
          </w:p>
        </w:tc>
        <w:tc>
          <w:tcPr>
            <w:tcW w:type="dxa" w:w="192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N.º de verificaciones</w:t>
            </w:r>
          </w:p>
        </w:tc>
        <w:tc>
          <w:tcPr>
            <w:tcW w:type="dxa" w:w="198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544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Tamaño de muestra y consentimiento</w:t>
            </w:r>
          </w:p>
        </w:tc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198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Coinciden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Ítems P01–P15 (n, promedio, % de acuerdo, % de desacuerdo)</w:t>
            </w:r>
          </w:p>
        </w:tc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61</w:t>
            </w:r>
          </w:p>
        </w:tc>
        <w:tc>
          <w:tcPr>
            <w:tcW w:type="dxa" w:w="198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Coinciden</w:t>
            </w:r>
          </w:p>
        </w:tc>
      </w:tr>
      <w:tr>
        <w:trPr>
          <w:cantSplit/>
        </w:trPr>
        <w:tc>
          <w:tcPr>
            <w:tcW w:type="dxa" w:w="544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Dimensiones D1–D5 y puntaje global; alfa</w:t>
            </w:r>
          </w:p>
        </w:tc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7</w:t>
            </w:r>
          </w:p>
        </w:tc>
        <w:tc>
          <w:tcPr>
            <w:tcW w:type="dxa" w:w="198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Coinciden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Comparación con y sin práctica previa (diferencia, pruebas, correlación)</w:t>
            </w:r>
          </w:p>
        </w:tc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6</w:t>
            </w:r>
          </w:p>
        </w:tc>
        <w:tc>
          <w:tcPr>
            <w:tcW w:type="dxa" w:w="198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Coinciden</w:t>
            </w:r>
          </w:p>
        </w:tc>
      </w:tr>
      <w:tr>
        <w:trPr>
          <w:cantSplit/>
        </w:trPr>
        <w:tc>
          <w:tcPr>
            <w:tcW w:type="dxa" w:w="544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Semáforo oficial (verdes, amarillos, rojos)</w:t>
            </w:r>
          </w:p>
        </w:tc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5</w:t>
            </w:r>
          </w:p>
        </w:tc>
        <w:tc>
          <w:tcPr>
            <w:tcW w:type="dxa" w:w="198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Coinciden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Otras hipótesis (Friedman, correlación P09–P10, P15)</w:t>
            </w:r>
          </w:p>
        </w:tc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198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Coinciden</w:t>
            </w:r>
          </w:p>
        </w:tc>
      </w:tr>
      <w:tr>
        <w:trPr>
          <w:cantSplit/>
        </w:trPr>
        <w:tc>
          <w:tcPr>
            <w:tcW w:type="dxa" w:w="544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Calidad de los datos y respuestas abiertas</w:t>
            </w:r>
          </w:p>
        </w:tc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6</w:t>
            </w:r>
          </w:p>
        </w:tc>
        <w:tc>
          <w:tcPr>
            <w:tcW w:type="dxa" w:w="198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Coinciden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Total</w:t>
            </w:r>
          </w:p>
        </w:tc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90</w:t>
            </w:r>
          </w:p>
        </w:tc>
        <w:tc>
          <w:tcPr>
            <w:tcW w:type="dxa" w:w="198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90 de 90 coinciden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r>
        <w:rPr>
          <w:rFonts w:ascii="Calibri" w:hAnsi="Calibri" w:eastAsia="Calibri"/>
        </w:rPr>
        <w:t xml:space="preserve">Las comparaciones usan una tolerancia de 0,000001 para promedios, porcentajes y valores p (0 para conteos). </w:t>
      </w:r>
      <w:r>
        <w:rPr>
          <w:rFonts w:ascii="Calibri" w:hAnsi="Calibri" w:eastAsia="Calibri"/>
          <w:b/>
        </w:rPr>
        <w:t>No hubo diferencias.</w:t>
      </w:r>
      <w:r>
        <w:rPr>
          <w:rFonts w:ascii="Calibri" w:hAnsi="Calibri" w:eastAsia="Calibri"/>
        </w:rPr>
        <w:t xml:space="preserve"> El detalle está en el Anexo A.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Qué no cubre esta verificación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Verifica que las cifras publicadas sean las que resultan de la base; </w:t>
            </w:r>
            <w:r>
              <w:rPr>
                <w:rFonts w:ascii="Calibri" w:hAnsi="Calibri" w:eastAsia="Calibri"/>
                <w:b/>
                <w:sz w:val="20"/>
              </w:rPr>
              <w:t>no</w:t>
            </w:r>
            <w:r>
              <w:rPr>
                <w:rFonts w:ascii="Calibri" w:hAnsi="Calibri" w:eastAsia="Calibri"/>
                <w:sz w:val="20"/>
              </w:rPr>
              <w:t xml:space="preserve"> valida que la base sea representativa ni que las respuestas sean veraces.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Los modelos (regresión, pruebas) usan las mismas librerías en ambos recálculos; una discrepancia conceptual entre pruebas no se detectaría. Por eso se recomienda que una persona con formación estadística revise el Informe B.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2.3 Verificación de fuentes y referencias</w:t>
      </w:r>
    </w:p>
    <w:p>
      <w:r>
        <w:rPr>
          <w:rFonts w:ascii="Calibri" w:hAnsi="Calibri" w:eastAsia="Calibri"/>
        </w:rPr>
        <w:t xml:space="preserve">Se comprobó que </w:t>
      </w:r>
      <w:r>
        <w:rPr>
          <w:rFonts w:ascii="Calibri" w:hAnsi="Calibri" w:eastAsia="Calibri"/>
          <w:b/>
        </w:rPr>
        <w:t>todo autor citado en el texto aparezca en la lista de referencias</w:t>
      </w:r>
      <w:r>
        <w:rPr>
          <w:rFonts w:ascii="Calibri" w:hAnsi="Calibri" w:eastAsia="Calibri"/>
        </w:rPr>
        <w:t xml:space="preserve"> de cada documento (sin faltantes) y que cada documento tenga su bibliografía y su declaración de uso de IA. Luego se revisó el estado de cada fuente externa del Estudio paralelo (Producto I):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3175"/>
        <w:gridCol w:w="1814"/>
        <w:gridCol w:w="4365"/>
      </w:tblGrid>
      <w:tr>
        <w:trPr>
          <w:tblHeader w:val="true"/>
        </w:trPr>
        <w:tc>
          <w:tcPr>
            <w:tcW w:type="dxa" w:w="3175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181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365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Observación</w:t>
            </w:r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Batistic y Tymon (2017), *Education + Training*</w:t>
            </w:r>
          </w:p>
        </w:tc>
        <w:tc>
          <w:tcPr>
            <w:tcW w:type="dxa" w:w="1814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Confirmada</w:t>
            </w:r>
          </w:p>
        </w:tc>
        <w:tc>
          <w:tcPr>
            <w:tcW w:type="dxa" w:w="436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Revista, volumen, páginas y DOI en registros en línea.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Gamboa, Paixão y Jesus (2013), *J. Vocational Behavior*</w:t>
            </w:r>
          </w:p>
        </w:tc>
        <w:tc>
          <w:tcPr>
            <w:tcW w:type="dxa" w:w="1814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Confirmada</w:t>
            </w:r>
          </w:p>
        </w:tc>
        <w:tc>
          <w:tcPr>
            <w:tcW w:type="dxa" w:w="436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Autoría, revista, volumen, páginas, DOI y muestra (346 estudiantes de enseñanza media, 12.º grado, Portugal).</w:t>
            </w:r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Ocampo y otros (2020), *J. Vocational Behavior*</w:t>
            </w:r>
          </w:p>
        </w:tc>
        <w:tc>
          <w:tcPr>
            <w:tcW w:type="dxa" w:w="1814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Confirmada</w:t>
            </w:r>
          </w:p>
        </w:tc>
        <w:tc>
          <w:tcPr>
            <w:tcW w:type="dxa" w:w="436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Siete autores, revista, volumen, artículo y DOI.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Pianda y otros (2024), *Cogent Business &amp; Management*</w:t>
            </w:r>
          </w:p>
        </w:tc>
        <w:tc>
          <w:tcPr>
            <w:tcW w:type="dxa" w:w="1814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Confirmada, con pendiente</w:t>
            </w:r>
          </w:p>
        </w:tc>
        <w:tc>
          <w:tcPr>
            <w:tcW w:type="dxa" w:w="436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Revista, volumen, artículo y DOI en tres registros; iniciales de autores por confirmar.</w:t>
            </w:r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Jollands (2017), conferencia</w:t>
            </w:r>
          </w:p>
        </w:tc>
        <w:tc>
          <w:tcPr>
            <w:tcW w:type="dxa" w:w="1814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Confirmada</w:t>
            </w:r>
          </w:p>
        </w:tc>
        <w:tc>
          <w:tcPr>
            <w:tcW w:type="dxa" w:w="436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Es un trabajo de conferencia no arbitrado (pp. 170–175); se agregó la salvedad en el texto.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Jackson y Dean (2023), *Higher Education Research &amp; Development*</w:t>
            </w:r>
          </w:p>
        </w:tc>
        <w:tc>
          <w:tcPr>
            <w:tcW w:type="dxa" w:w="1814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Parcial</w:t>
            </w:r>
          </w:p>
        </w:tc>
        <w:tc>
          <w:tcPr>
            <w:tcW w:type="dxa" w:w="436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Autores, revista, año y resultados confirmados; volumen, páginas y DOI por confirmar (un agregador indica el DOI 10.1080/07294360.2022.2048638).</w:t>
            </w:r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Clásicos (Bandura, Granovetter, Kolb, Cronbach, Holm, entre otros)</w:t>
            </w:r>
          </w:p>
        </w:tc>
        <w:tc>
          <w:tcPr>
            <w:tcW w:type="dxa" w:w="1814"/>
            <w:shd w:val="clear" w:color="auto" w:fill="6666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No verificada en línea</w:t>
            </w:r>
          </w:p>
        </w:tc>
        <w:tc>
          <w:tcPr>
            <w:tcW w:type="dxa" w:w="436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Seleccionadas desde el conocimiento de la herramienta; son referencias estándar, pero deben verificarse antes de publicar.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Informe Metodológico y base de datos (Duoc UC)</w:t>
            </w:r>
          </w:p>
        </w:tc>
        <w:tc>
          <w:tcPr>
            <w:tcW w:type="dxa" w:w="1814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Verificadas</w:t>
            </w:r>
          </w:p>
        </w:tc>
        <w:tc>
          <w:tcPr>
            <w:tcW w:type="dxa" w:w="436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El informe se leyó completo desde Drive y se contrastó con los umbrales usados; la base se recalculó.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r>
        <w:rPr>
          <w:rFonts w:ascii="Calibri" w:hAnsi="Calibri" w:eastAsia="Calibri"/>
          <w:color w:val="666666"/>
          <w:sz w:val="20"/>
        </w:rPr>
        <w:t xml:space="preserve">Nota sobre la verificación: se hizo con registros bibliográficos y resúmenes encontrados en línea; </w:t>
      </w:r>
      <w:r>
        <w:rPr>
          <w:rFonts w:ascii="Calibri" w:hAnsi="Calibri" w:eastAsia="Calibri"/>
          <w:b/>
          <w:color w:val="666666"/>
          <w:sz w:val="20"/>
        </w:rPr>
        <w:t>no se abrieron los textos completos</w:t>
      </w:r>
      <w:r>
        <w:rPr>
          <w:rFonts w:ascii="Calibri" w:hAnsi="Calibri" w:eastAsia="Calibri"/>
          <w:color w:val="666666"/>
          <w:sz w:val="20"/>
        </w:rPr>
        <w:t xml:space="preserve"> porque el entorno no permitió descargar páginas. Las conclusiones de cada estudio se citan como las describe su resumen.</w:t>
      </w:r>
    </w:p>
    <w:p>
      <w:pPr>
        <w:pStyle w:val="Heading2"/>
        <w:pBdr>
          <w:left w:val="single" w:sz="28" w:space="8" w:color="FFB800"/>
        </w:pBdr>
      </w:pPr>
      <w:r>
        <w:t>2.4 Cumplimiento del formato Duoc UC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1474"/>
        <w:gridCol w:w="4479"/>
      </w:tblGrid>
      <w:tr>
        <w:trPr>
          <w:tblHeader w:val="true"/>
        </w:trPr>
        <w:tc>
          <w:tcPr>
            <w:tcW w:type="dxa" w:w="340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Requisito de la norma</w:t>
            </w:r>
          </w:p>
        </w:tc>
        <w:tc>
          <w:tcPr>
            <w:tcW w:type="dxa" w:w="147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4479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Papel carta y márgenes normales</w:t>
            </w:r>
          </w:p>
        </w:tc>
        <w:tc>
          <w:tcPr>
            <w:tcW w:type="dxa" w:w="1474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Cumple</w:t>
            </w:r>
          </w:p>
        </w:tc>
        <w:tc>
          <w:tcPr>
            <w:tcW w:type="dxa" w:w="44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21,59 × 27,94 cm; márgenes de 2,54 cm.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Tipografía Calibri; cuerpo 11 pt</w:t>
            </w:r>
          </w:p>
        </w:tc>
        <w:tc>
          <w:tcPr>
            <w:tcW w:type="dxa" w:w="1474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Cumple</w:t>
            </w:r>
          </w:p>
        </w:tc>
        <w:tc>
          <w:tcPr>
            <w:tcW w:type="dxa" w:w="447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Calibri en todo el texto; cuerpo 11 pt.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Interlineado 1,5 en el cuerpo; texto justificado</w:t>
            </w:r>
          </w:p>
        </w:tc>
        <w:tc>
          <w:tcPr>
            <w:tcW w:type="dxa" w:w="1474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Cumple</w:t>
            </w:r>
          </w:p>
        </w:tc>
        <w:tc>
          <w:tcPr>
            <w:tcW w:type="dxa" w:w="44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Cuerpo a 1,5 y justificado. Tablas y cajas de nota usan interlineado menor para legibilidad.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Portada: título en mayúscula, 14 pt, negrita, sin punto final, filete amarillo, datos centrados</w:t>
            </w:r>
          </w:p>
        </w:tc>
        <w:tc>
          <w:tcPr>
            <w:tcW w:type="dxa" w:w="1474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Cumple</w:t>
            </w:r>
          </w:p>
        </w:tc>
        <w:tc>
          <w:tcPr>
            <w:tcW w:type="dxa" w:w="447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Verificado en cada documento.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Portada: logo oficial</w:t>
            </w:r>
          </w:p>
        </w:tc>
        <w:tc>
          <w:tcPr>
            <w:tcW w:type="dxa" w:w="1474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Pendiente</w:t>
            </w:r>
          </w:p>
        </w:tc>
        <w:tc>
          <w:tcPr>
            <w:tcW w:type="dxa" w:w="44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Hay un recuadro «[Insertar logo Duoc UC]». No se generó ni imitó el logo.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Portada: alumnos en orden alfabético, docente, asignatura y fecha</w:t>
            </w:r>
          </w:p>
        </w:tc>
        <w:tc>
          <w:tcPr>
            <w:tcW w:type="dxa" w:w="1474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Parcial</w:t>
            </w:r>
          </w:p>
        </w:tc>
        <w:tc>
          <w:tcPr>
            <w:tcW w:type="dxa" w:w="447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Se indica autor/docente, proyecto y fecha; no aplica lista de alumnos. Revisar asignatura.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Índice con número de página</w:t>
            </w:r>
          </w:p>
        </w:tc>
        <w:tc>
          <w:tcPr>
            <w:tcW w:type="dxa" w:w="1474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Cumple</w:t>
            </w:r>
          </w:p>
        </w:tc>
        <w:tc>
          <w:tcPr>
            <w:tcW w:type="dxa" w:w="44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Generado a partir del PDF; páginas verificadas.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Numeración de página (excepto portada)</w:t>
            </w:r>
          </w:p>
        </w:tc>
        <w:tc>
          <w:tcPr>
            <w:tcW w:type="dxa" w:w="1474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Cumple</w:t>
            </w:r>
          </w:p>
        </w:tc>
        <w:tc>
          <w:tcPr>
            <w:tcW w:type="dxa" w:w="447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Pie de página con número desde la página 2.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Estructura: Introducción, Desarrollo, Conclusión, Referencias, Anexos</w:t>
            </w:r>
          </w:p>
        </w:tc>
        <w:tc>
          <w:tcPr>
            <w:tcW w:type="dxa" w:w="1474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Cumple</w:t>
            </w:r>
          </w:p>
        </w:tc>
        <w:tc>
          <w:tcPr>
            <w:tcW w:type="dxa" w:w="44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Cinco partes numeradas.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Paleta oficial; máximo dos acentos por página</w:t>
            </w:r>
          </w:p>
        </w:tc>
        <w:tc>
          <w:tcPr>
            <w:tcW w:type="dxa" w:w="1474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Cumple</w:t>
            </w:r>
          </w:p>
        </w:tc>
        <w:tc>
          <w:tcPr>
            <w:tcW w:type="dxa" w:w="447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Negro, amarillo, gris y gris claro. Tras la corrección, ningún color fuera de paleta en el contenido de los documentos ni en las infografías.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Títulos con filete amarillo; tablas con encabezado oscuro y filas alternas; cajas con borde amarillo</w:t>
            </w:r>
          </w:p>
        </w:tc>
        <w:tc>
          <w:tcPr>
            <w:tcW w:type="dxa" w:w="1474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Cumple</w:t>
            </w:r>
          </w:p>
        </w:tc>
        <w:tc>
          <w:tcPr>
            <w:tcW w:type="dxa" w:w="44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Verificado visualmente.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Referencias según la norma indicada (APA 7)</w:t>
            </w:r>
          </w:p>
        </w:tc>
        <w:tc>
          <w:tcPr>
            <w:tcW w:type="dxa" w:w="1474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Cumple, con pendientes</w:t>
            </w:r>
          </w:p>
        </w:tc>
        <w:tc>
          <w:tcPr>
            <w:tcW w:type="dxa" w:w="447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Ver verificación de fuentes.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r>
        <w:rPr>
          <w:rFonts w:ascii="Calibri" w:hAnsi="Calibri" w:eastAsia="Calibri"/>
          <w:color w:val="666666"/>
          <w:sz w:val="20"/>
        </w:rPr>
        <w:t>Límite: la verificación se hizo sobre el archivo y su vista en PDF (LibreOffice). No se abrió en Microsoft Word; conviene abrir un documento en Word y confirmar portada e índice.</w:t>
      </w:r>
    </w:p>
    <w:p>
      <w:pPr>
        <w:pStyle w:val="Heading2"/>
        <w:pBdr>
          <w:left w:val="single" w:sz="28" w:space="8" w:color="FFB800"/>
        </w:pBdr>
      </w:pPr>
      <w:r>
        <w:t>2.5 Coherencia entre productos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5103"/>
        <w:gridCol w:w="4252"/>
      </w:tblGrid>
      <w:tr>
        <w:trPr>
          <w:tblHeader w:val="true"/>
        </w:trPr>
        <w:tc>
          <w:tcPr>
            <w:tcW w:type="dxa" w:w="510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425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51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Cifras que se repiten (puntaje global 3,87; 41 % con red de contactos; 83 % quiere proyectos con empresas; +0,17 con práctica previa; 38 estudiantes, 21 %, en semáforo rojo)</w:t>
            </w:r>
          </w:p>
        </w:tc>
        <w:tc>
          <w:tcPr>
            <w:tcW w:type="dxa" w:w="425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Iguales en todos los productos donde aparecen.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Hipótesis central del Informe Metodológico y sus umbrales (0,8–1,2 puntos; r ≥ 0,45; escenarios 1, 2 y 3)</w:t>
            </w:r>
          </w:p>
        </w:tc>
        <w:tc>
          <w:tcPr>
            <w:tcW w:type="dxa" w:w="425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Citados de forma igual en los Informes B y C y en las infografías E y H.</w:t>
            </w:r>
          </w:p>
        </w:tc>
      </w:tr>
      <w:tr>
        <w:trPr>
          <w:cantSplit/>
        </w:trPr>
        <w:tc>
          <w:tcPr>
            <w:tcW w:type="dxa" w:w="51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Códigos de recomendaciones R1 a R8</w:t>
            </w:r>
          </w:p>
        </w:tc>
        <w:tc>
          <w:tcPr>
            <w:tcW w:type="dxa" w:w="425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Mismo significado en A, B, C, G, I y las infografías.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Declaración de IA y bibliografía</w:t>
            </w:r>
          </w:p>
        </w:tc>
        <w:tc>
          <w:tcPr>
            <w:tcW w:type="dxa" w:w="425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Presentes en los diez productos.</w:t>
            </w:r>
          </w:p>
        </w:tc>
      </w:tr>
      <w:tr>
        <w:trPr>
          <w:cantSplit/>
        </w:trPr>
        <w:tc>
          <w:tcPr>
            <w:tcW w:type="dxa" w:w="51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Referencias cruzadas entre capítulos</w:t>
            </w:r>
          </w:p>
        </w:tc>
        <w:tc>
          <w:tcPr>
            <w:tcW w:type="dxa" w:w="425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Se corrigieron las que habían quedado obsoletas tras el cambio de estructura (hallazgos H-01).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Colores del semáforo</w:t>
            </w:r>
          </w:p>
        </w:tc>
        <w:tc>
          <w:tcPr>
            <w:tcW w:type="dxa" w:w="425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En los documentos se nombran verde, amarillo y rojo, pero se dibujan en negro, amarillo y gris por la paleta Duoc UC; se aclara en el Informe A.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2.6 Hallazgos y correcciones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623"/>
        <w:gridCol w:w="850"/>
        <w:gridCol w:w="907"/>
        <w:gridCol w:w="3402"/>
        <w:gridCol w:w="2268"/>
        <w:gridCol w:w="1304"/>
      </w:tblGrid>
      <w:tr>
        <w:trPr>
          <w:tblHeader w:val="true"/>
        </w:trPr>
        <w:tc>
          <w:tcPr>
            <w:tcW w:type="dxa" w:w="62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907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Producto</w:t>
            </w:r>
          </w:p>
        </w:tc>
        <w:tc>
          <w:tcPr>
            <w:tcW w:type="dxa" w:w="340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Hallazgo</w:t>
            </w:r>
          </w:p>
        </w:tc>
        <w:tc>
          <w:tcPr>
            <w:tcW w:type="dxa" w:w="226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130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62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H-01</w:t>
            </w:r>
          </w:p>
        </w:tc>
        <w:tc>
          <w:tcPr>
            <w:tcW w:type="dxa" w:w="850"/>
            <w:shd w:val="clear" w:color="auto" w:fill="FFD8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6"/>
              </w:rPr>
              <w:t>Media</w:t>
            </w:r>
          </w:p>
        </w:tc>
        <w:tc>
          <w:tcPr>
            <w:tcW w:type="dxa" w:w="90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F, G, A, B, C</w:t>
            </w:r>
          </w:p>
        </w:tc>
        <w:tc>
          <w:tcPr>
            <w:tcW w:type="dxa" w:w="34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Referencias cruzadas y numeración de subtítulos obsoletas tras reestructurar según la norma (p. ej., «Sección 3», «Sección 6.2»).</w:t>
            </w:r>
          </w:p>
        </w:tc>
        <w:tc>
          <w:tcPr>
            <w:tcW w:type="dxa" w:w="226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Se eliminó la numeración fija de subtítulos y se reescribieron las referencias.</w:t>
            </w:r>
          </w:p>
        </w:tc>
        <w:tc>
          <w:tcPr>
            <w:tcW w:type="dxa" w:w="130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Corregido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H-02</w:t>
            </w:r>
          </w:p>
        </w:tc>
        <w:tc>
          <w:tcPr>
            <w:tcW w:type="dxa" w:w="850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6"/>
              </w:rPr>
              <w:t>Alta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I, J</w:t>
            </w:r>
          </w:p>
        </w:tc>
        <w:tc>
          <w:tcPr>
            <w:tcW w:type="dxa" w:w="34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El estudio de Gamboa y otros (2013) se describía como de «enseñanza media técnica». La fuente indica estudiantes de enseñanza media (12.º grado); no dice que sea técnica.</w:t>
            </w:r>
          </w:p>
        </w:tc>
        <w:tc>
          <w:tcPr>
            <w:tcW w:type="dxa" w:w="226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Se corrigió y se verificó la muestra (346).</w:t>
            </w:r>
          </w:p>
        </w:tc>
        <w:tc>
          <w:tcPr>
            <w:tcW w:type="dxa" w:w="130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Corregido</w:t>
            </w:r>
          </w:p>
        </w:tc>
      </w:tr>
      <w:tr>
        <w:trPr>
          <w:cantSplit/>
        </w:trPr>
        <w:tc>
          <w:tcPr>
            <w:tcW w:type="dxa" w:w="62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H-03</w:t>
            </w:r>
          </w:p>
        </w:tc>
        <w:tc>
          <w:tcPr>
            <w:tcW w:type="dxa" w:w="850"/>
            <w:shd w:val="clear" w:color="auto" w:fill="FFD8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6"/>
              </w:rPr>
              <w:t>Media</w:t>
            </w:r>
          </w:p>
        </w:tc>
        <w:tc>
          <w:tcPr>
            <w:tcW w:type="dxa" w:w="90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I, J</w:t>
            </w:r>
          </w:p>
        </w:tc>
        <w:tc>
          <w:tcPr>
            <w:tcW w:type="dxa" w:w="34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Jollands (2017) se presentaba sin aclarar que es un trabajo de conferencia no arbitrado de un solo curso.</w:t>
            </w:r>
          </w:p>
        </w:tc>
        <w:tc>
          <w:tcPr>
            <w:tcW w:type="dxa" w:w="226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Se agregó la salvedad en el texto y en la infografía.</w:t>
            </w:r>
          </w:p>
        </w:tc>
        <w:tc>
          <w:tcPr>
            <w:tcW w:type="dxa" w:w="130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Corregido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H-04</w:t>
            </w:r>
          </w:p>
        </w:tc>
        <w:tc>
          <w:tcPr>
            <w:tcW w:type="dxa" w:w="850"/>
            <w:shd w:val="clear" w:color="auto" w:fill="FFD8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6"/>
              </w:rPr>
              <w:t>Media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E, B</w:t>
            </w:r>
          </w:p>
        </w:tc>
        <w:tc>
          <w:tcPr>
            <w:tcW w:type="dxa" w:w="34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«Cuatro de cinco dimensiones suben con práctica» era inexacto para las dimensiones del estudio: suben las cinco. «Cuatro de cinco» corresponde a las dimensiones equivalentes del Informe Metodológico.</w:t>
            </w:r>
          </w:p>
        </w:tc>
        <w:tc>
          <w:tcPr>
            <w:tcW w:type="dxa" w:w="226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Se corrigió y se distinguió cada caso.</w:t>
            </w:r>
          </w:p>
        </w:tc>
        <w:tc>
          <w:tcPr>
            <w:tcW w:type="dxa" w:w="130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Corregido</w:t>
            </w:r>
          </w:p>
        </w:tc>
      </w:tr>
      <w:tr>
        <w:trPr>
          <w:cantSplit/>
        </w:trPr>
        <w:tc>
          <w:tcPr>
            <w:tcW w:type="dxa" w:w="62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H-05</w:t>
            </w:r>
          </w:p>
        </w:tc>
        <w:tc>
          <w:tcPr>
            <w:tcW w:type="dxa" w:w="85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6"/>
              </w:rPr>
              <w:t>Baja</w:t>
            </w:r>
          </w:p>
        </w:tc>
        <w:tc>
          <w:tcPr>
            <w:tcW w:type="dxa" w:w="90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D</w:t>
            </w:r>
          </w:p>
        </w:tc>
        <w:tc>
          <w:tcPr>
            <w:tcW w:type="dxa" w:w="34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La leyenda de colores de las dimensiones seguía describiendo la paleta anterior (verde y ámbar).</w:t>
            </w:r>
          </w:p>
        </w:tc>
        <w:tc>
          <w:tcPr>
            <w:tcW w:type="dxa" w:w="226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Se actualizó a la paleta Duoc UC.</w:t>
            </w:r>
          </w:p>
        </w:tc>
        <w:tc>
          <w:tcPr>
            <w:tcW w:type="dxa" w:w="130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Corregido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H-06</w:t>
            </w:r>
          </w:p>
        </w:tc>
        <w:tc>
          <w:tcPr>
            <w:tcW w:type="dxa" w:w="85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6"/>
              </w:rPr>
              <w:t>Baja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F</w:t>
            </w:r>
          </w:p>
        </w:tc>
        <w:tc>
          <w:tcPr>
            <w:tcW w:type="dxa" w:w="34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«Más de 80 %» para P08 (80,0 %).</w:t>
            </w:r>
          </w:p>
        </w:tc>
        <w:tc>
          <w:tcPr>
            <w:tcW w:type="dxa" w:w="226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Se cambió a «80 % o más».</w:t>
            </w:r>
          </w:p>
        </w:tc>
        <w:tc>
          <w:tcPr>
            <w:tcW w:type="dxa" w:w="130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Corregido</w:t>
            </w:r>
          </w:p>
        </w:tc>
      </w:tr>
      <w:tr>
        <w:trPr>
          <w:cantSplit/>
        </w:trPr>
        <w:tc>
          <w:tcPr>
            <w:tcW w:type="dxa" w:w="62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H-07</w:t>
            </w:r>
          </w:p>
        </w:tc>
        <w:tc>
          <w:tcPr>
            <w:tcW w:type="dxa" w:w="850"/>
            <w:shd w:val="clear" w:color="auto" w:fill="FFD8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6"/>
              </w:rPr>
              <w:t>Media</w:t>
            </w:r>
          </w:p>
        </w:tc>
        <w:tc>
          <w:tcPr>
            <w:tcW w:type="dxa" w:w="90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I, J</w:t>
            </w:r>
          </w:p>
        </w:tc>
        <w:tc>
          <w:tcPr>
            <w:tcW w:type="dxa" w:w="34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«Sin experiencias que contar» confundía «nunca ha hecho una práctica» (61 %) con no tener ninguna experiencia laboral.</w:t>
            </w:r>
          </w:p>
        </w:tc>
        <w:tc>
          <w:tcPr>
            <w:tcW w:type="dxa" w:w="226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Se reemplazó por «nunca han hecho una práctica».</w:t>
            </w:r>
          </w:p>
        </w:tc>
        <w:tc>
          <w:tcPr>
            <w:tcW w:type="dxa" w:w="130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Corregido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H-08</w:t>
            </w:r>
          </w:p>
        </w:tc>
        <w:tc>
          <w:tcPr>
            <w:tcW w:type="dxa" w:w="85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6"/>
              </w:rPr>
              <w:t>Baja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F</w:t>
            </w:r>
          </w:p>
        </w:tc>
        <w:tc>
          <w:tcPr>
            <w:tcW w:type="dxa" w:w="34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Un color de celda fuera de la paleta Duoc UC.</w:t>
            </w:r>
          </w:p>
        </w:tc>
        <w:tc>
          <w:tcPr>
            <w:tcW w:type="dxa" w:w="226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Se reemplazó por gris claro #EEEEEE.</w:t>
            </w:r>
          </w:p>
        </w:tc>
        <w:tc>
          <w:tcPr>
            <w:tcW w:type="dxa" w:w="130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Corregido</w:t>
            </w:r>
          </w:p>
        </w:tc>
      </w:tr>
      <w:tr>
        <w:trPr>
          <w:cantSplit/>
        </w:trPr>
        <w:tc>
          <w:tcPr>
            <w:tcW w:type="dxa" w:w="62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H-09</w:t>
            </w:r>
          </w:p>
        </w:tc>
        <w:tc>
          <w:tcPr>
            <w:tcW w:type="dxa" w:w="850"/>
            <w:shd w:val="clear" w:color="auto" w:fill="FFD8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6"/>
              </w:rPr>
              <w:t>Media</w:t>
            </w:r>
          </w:p>
        </w:tc>
        <w:tc>
          <w:tcPr>
            <w:tcW w:type="dxa" w:w="90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I, J</w:t>
            </w:r>
          </w:p>
        </w:tc>
        <w:tc>
          <w:tcPr>
            <w:tcW w:type="dxa" w:w="34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Referencias con datos por confirmar (autoría, muestra, volumen). Se buscaron en línea.</w:t>
            </w:r>
          </w:p>
        </w:tc>
        <w:tc>
          <w:tcPr>
            <w:tcW w:type="dxa" w:w="226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Se confirmaron Gamboa y otros (2013), Ocampo y otros (2020, siete autores) y Pianda y otros (2024), que se incorporó al estudio.</w:t>
            </w:r>
          </w:p>
        </w:tc>
        <w:tc>
          <w:tcPr>
            <w:tcW w:type="dxa" w:w="130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Corregido; queda pendiente Jackson y Dean (volumen, páginas, DOI)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H-10</w:t>
            </w:r>
          </w:p>
        </w:tc>
        <w:tc>
          <w:tcPr>
            <w:tcW w:type="dxa" w:w="85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6"/>
              </w:rPr>
              <w:t>Baja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B</w:t>
            </w:r>
          </w:p>
        </w:tc>
        <w:tc>
          <w:tcPr>
            <w:tcW w:type="dxa" w:w="34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El valor p ajustado de la tabla de equivalencia (nueve comparaciones) difiere del Anexo 1 (seis); podía parecer incoherente.</w:t>
            </w:r>
          </w:p>
        </w:tc>
        <w:tc>
          <w:tcPr>
            <w:tcW w:type="dxa" w:w="226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Se agregó una nota explicativa.</w:t>
            </w:r>
          </w:p>
        </w:tc>
        <w:tc>
          <w:tcPr>
            <w:tcW w:type="dxa" w:w="130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Corregido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3"/>
      </w:pPr>
      <w:r>
        <w:t>Pendientes que no se pueden cerrar desde esta revisión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1.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Logo oficial de Duoc UC</w:t>
      </w:r>
      <w:r>
        <w:rPr>
          <w:rFonts w:ascii="Calibri" w:hAnsi="Calibri" w:eastAsia="Calibri"/>
        </w:rPr>
        <w:t xml:space="preserve"> en portadas e infografías, y revisión de los datos de portada (docente y asignatura).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2.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Confirmar</w:t>
      </w:r>
      <w:r>
        <w:rPr>
          <w:rFonts w:ascii="Calibri" w:hAnsi="Calibri" w:eastAsia="Calibri"/>
        </w:rPr>
        <w:t xml:space="preserve"> volumen, páginas y DOI de Jackson y Dean (2023) y las iniciales de los autores de Pianda y otros (2024).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3.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Doble lectura humana</w:t>
      </w:r>
      <w:r>
        <w:rPr>
          <w:rFonts w:ascii="Calibri" w:hAnsi="Calibri" w:eastAsia="Calibri"/>
        </w:rPr>
        <w:t xml:space="preserve"> de la clasificación de las respuestas abiertas y publicación del libro de códigos (R8).</w:t>
      </w:r>
    </w:p>
    <w:p>
      <w:pPr>
        <w:pStyle w:val="Heading2"/>
        <w:pBdr>
          <w:left w:val="single" w:sz="28" w:space="8" w:color="FFB800"/>
        </w:pBdr>
      </w:pPr>
      <w:r>
        <w:t>2.7 Riesgos residuales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494"/>
        <w:gridCol w:w="3402"/>
        <w:gridCol w:w="3458"/>
      </w:tblGrid>
      <w:tr>
        <w:trPr>
          <w:tblHeader w:val="true"/>
        </w:trPr>
        <w:tc>
          <w:tcPr>
            <w:tcW w:type="dxa" w:w="249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340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Por qué persiste</w:t>
            </w:r>
          </w:p>
        </w:tc>
        <w:tc>
          <w:tcPr>
            <w:tcW w:type="dxa" w:w="345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Qué hacer</w:t>
            </w:r>
          </w:p>
        </w:tc>
      </w:tr>
      <w:tr>
        <w:trPr>
          <w:cantSplit/>
        </w:trPr>
        <w:tc>
          <w:tcPr>
            <w:tcW w:type="dxa" w:w="249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Autopercepción y una sola medición</w:t>
            </w:r>
          </w:p>
        </w:tc>
        <w:tc>
          <w:tcPr>
            <w:tcW w:type="dxa" w:w="34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La base no permite medir cambios ni desempeño real.</w:t>
            </w:r>
          </w:p>
        </w:tc>
        <w:tc>
          <w:tcPr>
            <w:tcW w:type="dxa" w:w="34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Aplicar R1: código, momento y grupo; sumar evaluación de tutores.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Muestra voluntaria y concentrada en una escuela</w:t>
            </w:r>
          </w:p>
        </w:tc>
        <w:tc>
          <w:tcPr>
            <w:tcW w:type="dxa" w:w="34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98 % de Administración y Negocios.</w:t>
            </w:r>
          </w:p>
        </w:tc>
        <w:tc>
          <w:tcPr>
            <w:tcW w:type="dxa" w:w="34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No generalizar a otras escuelas; repetir con otras sedes.</w:t>
            </w:r>
          </w:p>
        </w:tc>
      </w:tr>
      <w:tr>
        <w:trPr>
          <w:cantSplit/>
        </w:trPr>
        <w:tc>
          <w:tcPr>
            <w:tcW w:type="dxa" w:w="249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Poca potencia para diferencias pequeñas</w:t>
            </w:r>
          </w:p>
        </w:tc>
        <w:tc>
          <w:tcPr>
            <w:tcW w:type="dxa" w:w="34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Solo se detectan diferencias de 0,28 puntos o más.</w:t>
            </w:r>
          </w:p>
        </w:tc>
        <w:tc>
          <w:tcPr>
            <w:tcW w:type="dxa" w:w="34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Aumentar la muestra en el piloto (≈ 110 por grupo).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Hipótesis H2–H5 exploratorias</w:t>
            </w:r>
          </w:p>
        </w:tc>
        <w:tc>
          <w:tcPr>
            <w:tcW w:type="dxa" w:w="34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Formuladas tras una primera mirada a los datos.</w:t>
            </w:r>
          </w:p>
        </w:tc>
        <w:tc>
          <w:tcPr>
            <w:tcW w:type="dxa" w:w="34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Replicar con otra cohorte antes de decisiones de alto costo.</w:t>
            </w:r>
          </w:p>
        </w:tc>
      </w:tr>
      <w:tr>
        <w:trPr>
          <w:cantSplit/>
        </w:trPr>
        <w:tc>
          <w:tcPr>
            <w:tcW w:type="dxa" w:w="249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Autorrevisión por IA</w:t>
            </w:r>
          </w:p>
        </w:tc>
        <w:tc>
          <w:tcPr>
            <w:tcW w:type="dxa" w:w="34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La misma herramienta elaboró y revisó los productos.</w:t>
            </w:r>
          </w:p>
        </w:tc>
        <w:tc>
          <w:tcPr>
            <w:tcW w:type="dxa" w:w="34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Revisión humana independiente, en especial del Informe B y de las referencias.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Costos y metas del Manual G</w:t>
            </w:r>
          </w:p>
        </w:tc>
        <w:tc>
          <w:tcPr>
            <w:tcW w:type="dxa" w:w="34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Son estimaciones del equipo analista.</w:t>
            </w:r>
          </w:p>
        </w:tc>
        <w:tc>
          <w:tcPr>
            <w:tcW w:type="dxa" w:w="34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Validar con la Dirección de Escuela y Administración.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1"/>
        <w:pageBreakBefore/>
        <w:pBdr>
          <w:left w:val="single" w:sz="36" w:space="8" w:color="FFB800"/>
        </w:pBdr>
      </w:pPr>
      <w:r>
        <w:t>3. CONCLUSIÓN</w:t>
      </w:r>
    </w:p>
    <w:p>
      <w:pPr>
        <w:pStyle w:val="Heading2"/>
        <w:pBdr>
          <w:left w:val="single" w:sz="28" w:space="8" w:color="FFB800"/>
        </w:pBdr>
      </w:pPr>
      <w:r>
        <w:t>3.1 Opinión de auditoría</w:t>
      </w:r>
    </w:p>
    <w:p>
      <w:r>
        <w:rPr>
          <w:rFonts w:ascii="Calibri" w:hAnsi="Calibri" w:eastAsia="Calibri"/>
        </w:rPr>
        <w:t xml:space="preserve">Con base en el recálculo independiente, la revisión del texto y la revisión del formato, </w:t>
      </w:r>
      <w:r>
        <w:rPr>
          <w:rFonts w:ascii="Calibri" w:hAnsi="Calibri" w:eastAsia="Calibri"/>
          <w:b/>
        </w:rPr>
        <w:t>los productos son consistentes con los datos de la encuesta y cumplen la norma de formato Duoc UC</w:t>
      </w:r>
      <w:r>
        <w:rPr>
          <w:rFonts w:ascii="Calibri" w:hAnsi="Calibri" w:eastAsia="Calibri"/>
        </w:rPr>
        <w:t>, con las observaciones señaladas. Los hallazgos de mayor importancia (una descripción inexacta de un estudio externo, una frase inexacta sobre las dimensiones y varias referencias cruzadas obsoletas) se corrigieron.</w:t>
      </w:r>
    </w:p>
    <w:p>
      <w:r>
        <w:rPr>
          <w:rFonts w:ascii="Calibri" w:hAnsi="Calibri" w:eastAsia="Calibri"/>
        </w:rPr>
        <w:t xml:space="preserve">La opinión es </w:t>
      </w:r>
      <w:r>
        <w:rPr>
          <w:rFonts w:ascii="Calibri" w:hAnsi="Calibri" w:eastAsia="Calibri"/>
          <w:b/>
        </w:rPr>
        <w:t>«aprobado con observaciones»</w:t>
      </w:r>
      <w:r>
        <w:rPr>
          <w:rFonts w:ascii="Calibri" w:hAnsi="Calibri" w:eastAsia="Calibri"/>
        </w:rPr>
        <w:t xml:space="preserve"> porque quedan tres pendientes (logo, dos datos de referencias y doble lectura de respuestas abiertas) y porque la revisión no es independiente.</w:t>
      </w:r>
    </w:p>
    <w:p>
      <w:pPr>
        <w:pStyle w:val="Heading2"/>
        <w:pBdr>
          <w:left w:val="single" w:sz="28" w:space="8" w:color="FFB800"/>
        </w:pBdr>
      </w:pPr>
      <w:r>
        <w:t>3.2 Controles recomendados antes de difundir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Abrir cada documento en Word y confirmar portada, índice y saltos de página.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Insertar el logo oficial y revisar los datos de portada.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Completar los datos por confirmar en las referencias.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Pedir a una persona con formación estadística que revise el Informe B y a otra que revise las respuestas abiertas.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Volver a ejecutar `auditoria_datos.py` si la base cambia; el resultado debe seguir siendo «sin diferencias».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Mantener una versión con fecha y registro de cambios por producto.</w:t>
      </w:r>
    </w:p>
    <w:p>
      <w:pPr>
        <w:pStyle w:val="Heading1"/>
        <w:pageBreakBefore/>
        <w:pBdr>
          <w:left w:val="single" w:sz="36" w:space="8" w:color="FFB800"/>
        </w:pBdr>
      </w:pPr>
      <w:r>
        <w:t>4. REFERENCIAS</w:t>
      </w:r>
    </w:p>
    <w:p>
      <w:r>
        <w:rPr>
          <w:rFonts w:ascii="Calibri" w:hAnsi="Calibri" w:eastAsia="Calibri"/>
          <w:color w:val="666666"/>
          <w:sz w:val="20"/>
        </w:rPr>
        <w:t>Referencias en formato APA 7. Las fuentes externas se listan como en el Estudio paralelo (Producto I).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Batistic, S., &amp; Tymon, A. (2017). Networking behaviour, graduate employability: A social capital perspective. </w:t>
      </w:r>
      <w:r>
        <w:rPr>
          <w:rFonts w:ascii="Calibri" w:hAnsi="Calibri"/>
          <w:i/>
          <w:sz w:val="21"/>
        </w:rPr>
        <w:t>Education + Training, 59</w:t>
      </w:r>
      <w:r>
        <w:rPr>
          <w:rFonts w:ascii="Calibri" w:hAnsi="Calibri"/>
          <w:i w:val="0"/>
          <w:sz w:val="21"/>
        </w:rPr>
        <w:t>(4), 374–388. https://doi.org/10.1108/ET-06-2016-0100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Gamboa, V., Paixão, M. P., &amp; Jesus, S. N. (2013). Internship quality predicts career exploration of high school students. </w:t>
      </w:r>
      <w:r>
        <w:rPr>
          <w:rFonts w:ascii="Calibri" w:hAnsi="Calibri"/>
          <w:i/>
          <w:sz w:val="21"/>
        </w:rPr>
        <w:t>Journal of Vocational Behavior, 83</w:t>
      </w:r>
      <w:r>
        <w:rPr>
          <w:rFonts w:ascii="Calibri" w:hAnsi="Calibri"/>
          <w:i w:val="0"/>
          <w:sz w:val="21"/>
        </w:rPr>
        <w:t>(1), 78–87. https://doi.org/10.1016/j.jvb.2013.02.009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Jackson, D., &amp; Dean, B. A. (2023). The contribution of different types of work-integrated learning to graduate employability. </w:t>
      </w:r>
      <w:r>
        <w:rPr>
          <w:rFonts w:ascii="Calibri" w:hAnsi="Calibri"/>
          <w:i/>
          <w:sz w:val="21"/>
        </w:rPr>
        <w:t>Higher Education Research &amp; Development</w:t>
      </w:r>
      <w:r>
        <w:rPr>
          <w:rFonts w:ascii="Calibri" w:hAnsi="Calibri"/>
          <w:i w:val="0"/>
          <w:sz w:val="21"/>
        </w:rPr>
        <w:t>. https://ro.ecu.edu.au/ecuworks2022-2026/651 [volumen, páginas y DOI por confirmar]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Jollands, M. (2017). A non-placement authentic simulated work integrated learning project for final year students. En </w:t>
      </w:r>
      <w:r>
        <w:rPr>
          <w:rFonts w:ascii="Calibri" w:hAnsi="Calibri"/>
          <w:i/>
          <w:sz w:val="21"/>
        </w:rPr>
        <w:t>Proceedings of the Australian Conference on Science and Mathematics Education (2016)</w:t>
      </w:r>
      <w:r>
        <w:rPr>
          <w:rFonts w:ascii="Calibri" w:hAnsi="Calibri"/>
          <w:i w:val="0"/>
          <w:sz w:val="21"/>
        </w:rPr>
        <w:t xml:space="preserve"> (pp. 170–175). University of Queensland. https://openjournals.library.sydney.edu.au/IISME/article/view/10742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Ocampo, A. C., Reyes, M. L., Chen, Y., Restubog, S. L. D., Chih, Y. Y., Chua-Garcia, L., &amp; Guan, P. (2020). The role of internship participation and conscientiousness in developing career adaptability: A five-wave growth mixture model analysis. </w:t>
      </w:r>
      <w:r>
        <w:rPr>
          <w:rFonts w:ascii="Calibri" w:hAnsi="Calibri"/>
          <w:i/>
          <w:sz w:val="21"/>
        </w:rPr>
        <w:t>Journal of Vocational Behavior, 120</w:t>
      </w:r>
      <w:r>
        <w:rPr>
          <w:rFonts w:ascii="Calibri" w:hAnsi="Calibri"/>
          <w:i w:val="0"/>
          <w:sz w:val="21"/>
        </w:rPr>
        <w:t>, Article 103426. https://doi.org/10.1016/j.jvb.2020.103426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Pianda, D., Hilmiana, Widianto, S., &amp; Sartika, D. (2024). The impact of internship experience on the employability of vocational students: A bibliometric and systematic review. </w:t>
      </w:r>
      <w:r>
        <w:rPr>
          <w:rFonts w:ascii="Calibri" w:hAnsi="Calibri"/>
          <w:i/>
          <w:sz w:val="21"/>
        </w:rPr>
        <w:t>Cogent Business &amp; Management, 11</w:t>
      </w:r>
      <w:r>
        <w:rPr>
          <w:rFonts w:ascii="Calibri" w:hAnsi="Calibri"/>
          <w:i w:val="0"/>
          <w:sz w:val="21"/>
        </w:rPr>
        <w:t>(1), Article 2386465. https://doi.org/10.1080/23311975.2024.2386465 [iniciales por confirmar]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Duoc UC, Escuela de Administración y Negocios, Sede San Bernardo (2026). </w:t>
      </w:r>
      <w:r>
        <w:rPr>
          <w:rFonts w:ascii="Calibri" w:hAnsi="Calibri"/>
          <w:i/>
          <w:sz w:val="21"/>
        </w:rPr>
        <w:t>Proyecto La Puerta: Informe metodológico y análisis prospectivo de brechas en habilidades blandas para la práctica profesional</w:t>
      </w:r>
      <w:r>
        <w:rPr>
          <w:rFonts w:ascii="Calibri" w:hAnsi="Calibri"/>
          <w:i w:val="0"/>
          <w:sz w:val="21"/>
        </w:rPr>
        <w:t xml:space="preserve"> [documento interno].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Duoc UC (2026). </w:t>
      </w:r>
      <w:r>
        <w:rPr>
          <w:rFonts w:ascii="Calibri" w:hAnsi="Calibri"/>
          <w:i/>
          <w:sz w:val="21"/>
        </w:rPr>
        <w:t>Proyecto La Puerta: Base de datos y matriz de análisis (20261009_1658)</w:t>
      </w:r>
      <w:r>
        <w:rPr>
          <w:rFonts w:ascii="Calibri" w:hAnsi="Calibri"/>
          <w:i w:val="0"/>
          <w:sz w:val="21"/>
        </w:rPr>
        <w:t xml:space="preserve"> [base de datos interna, no publicada].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Bibliotecas Duoc UC. </w:t>
      </w:r>
      <w:r>
        <w:rPr>
          <w:rFonts w:ascii="Calibri" w:hAnsi="Calibri"/>
          <w:i/>
          <w:sz w:val="21"/>
        </w:rPr>
        <w:t>Norma de formato de informes</w:t>
      </w:r>
      <w:r>
        <w:rPr>
          <w:rFonts w:ascii="Calibri" w:hAnsi="Calibri"/>
          <w:i w:val="0"/>
          <w:sz w:val="21"/>
        </w:rPr>
        <w:t xml:space="preserve"> [guía institucional de formato aplicada mediante la habilidad «formato de informes Duoc»; documento no verificado en línea].</w:t>
      </w:r>
    </w:p>
    <w:p>
      <w:pPr>
        <w:pStyle w:val="Heading1"/>
        <w:pageBreakBefore/>
        <w:pBdr>
          <w:left w:val="single" w:sz="36" w:space="8" w:color="FFB800"/>
        </w:pBdr>
      </w:pPr>
      <w:r>
        <w:t>5. ANEXOS</w:t>
      </w:r>
    </w:p>
    <w:p>
      <w:pPr>
        <w:pStyle w:val="Heading2"/>
        <w:pBdr>
          <w:left w:val="single" w:sz="28" w:space="8" w:color="FFB800"/>
        </w:pBdr>
      </w:pPr>
      <w:r>
        <w:t>5.1 Detalle de las verificaciones numéricas</w:t>
      </w:r>
    </w:p>
    <w:p>
      <w:r>
        <w:rPr>
          <w:rFonts w:ascii="Calibri" w:hAnsi="Calibri" w:eastAsia="Calibri"/>
          <w:sz w:val="21"/>
        </w:rPr>
        <w:t>Se listan las 90 cifras recalculadas. «Publicado» es el valor del archivo de resultados que alimenta los productos; «Recalculado» es el valor obtenido con el método independiente.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4082"/>
        <w:gridCol w:w="1871"/>
        <w:gridCol w:w="1871"/>
        <w:gridCol w:w="1530"/>
      </w:tblGrid>
      <w:tr>
        <w:trPr>
          <w:tblHeader w:val="true"/>
        </w:trPr>
        <w:tc>
          <w:tcPr>
            <w:tcW w:type="dxa" w:w="408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Verificación</w:t>
            </w:r>
          </w:p>
        </w:tc>
        <w:tc>
          <w:tcPr>
            <w:tcW w:type="dxa" w:w="1871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Publicado</w:t>
            </w:r>
          </w:p>
        </w:tc>
        <w:tc>
          <w:tcPr>
            <w:tcW w:type="dxa" w:w="1871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Recalculado</w:t>
            </w:r>
          </w:p>
        </w:tc>
        <w:tc>
          <w:tcPr>
            <w:tcW w:type="dxa" w:w="1531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Coincide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184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184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consentimiento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184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184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P01 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183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183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P01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3,7814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3,7814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P01 %fav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68,3060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68,3060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P01 %des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10,3825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10,3825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P02 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181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181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P02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3,8122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3,8122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P02 %fav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69,0608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69,0608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P02 %des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11,6022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11,6022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P03 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181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181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P03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4,1436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4,1436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P03 %fav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82,3204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82,3204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P03 %des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6,6298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6,6298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P04 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181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181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P04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3,7680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3,7680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P04 %fav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67,9558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67,9558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P04 %des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8,2873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8,2873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P05 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184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184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P05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3,9293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3,9293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P05 %fav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76,0870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76,0870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P05 %des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5,4348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5,4348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P06 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180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180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P06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3,7833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3,7833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P06 %fav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65,5556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65,5556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P06 %des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5,5556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5,5556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P07 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181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181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P07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4,1436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4,1436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P07 %fav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86,7403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86,7403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P07 %des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4,9724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4,9724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P08 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180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180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P08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4,0111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4,0111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P08 %fav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80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80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P08 %des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8,8889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8,8889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P09 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177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177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P09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3,6836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3,6836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P09 %fav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61,5819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61,5819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P09 %des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12,4294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12,4294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P10 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181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181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P10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3,8177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3,8177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P10 %fav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68,5083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68,5083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P10 %des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8,8398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8,8398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P11 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182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182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P11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3,7473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3,7473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P11 %fav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64,2857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64,2857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P11 %des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10,9890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10,9890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P12 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177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177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P12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3,1356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3,1356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P12 %fav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40,6780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40,6780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P12 %des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29,9435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29,9435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P13 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181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181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P13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3,9669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3,9669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P13 %fav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76,2431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76,2431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P13 %des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5,5249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5,5249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P14 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177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177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P14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4,0395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4,0395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P14 %fav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85,3107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85,3107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P14 %des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5,0847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5,0847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P15 n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180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180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P15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4,2444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4,2444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P15 %fav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83,3333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83,3333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P15 %des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3,3333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3,3333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D1 media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3,7978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3,7978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D2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3,9135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3,9135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D3 media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3,9185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3,9185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D4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3,7177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3,7177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D5 media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4,0055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4,0055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global media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3,8691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3,8691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alfa global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0,9252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0,9252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n con práctica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72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72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n sin práctica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112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112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dif global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0,1699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0,1699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MW p global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0,0497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0,0497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Welch p global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0,0778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0,0778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Pearson práctica-global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0,1247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0,1247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verde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59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59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amarillo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87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87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rojo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38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38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rojo sin práctica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28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28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rojo con práctica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10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10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Friedman chi2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40,2664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40,2664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rho P09-P10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0,4707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0,4707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P15 favorables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150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150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binomial p vs 70%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0,0000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0,0000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celdas No sé/No aplica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54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54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respuestas idénticas en todo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12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12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correos duplicados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0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campos vacíos ID02/03/04/POST_EXP1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736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736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abiertas ABI1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142</w:t>
            </w:r>
          </w:p>
        </w:tc>
        <w:tc>
          <w:tcPr>
            <w:tcW w:type="dxa" w:w="18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142</w:t>
            </w:r>
          </w:p>
        </w:tc>
        <w:tc>
          <w:tcPr>
            <w:tcW w:type="dxa" w:w="153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abiertas ABI2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136</w:t>
            </w:r>
          </w:p>
        </w:tc>
        <w:tc>
          <w:tcPr>
            <w:tcW w:type="dxa" w:w="18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136</w:t>
            </w:r>
          </w:p>
        </w:tc>
        <w:tc>
          <w:tcPr>
            <w:tcW w:type="dxa" w:w="153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6"/>
              </w:rPr>
              <w:t>Sí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3"/>
      </w:pPr>
      <w:r>
        <w:t>Declaración sobre el uso de Inteligencia Artificial</w:t>
      </w:r>
    </w:p>
    <w:p>
      <w:r>
        <w:rPr>
          <w:rFonts w:ascii="Calibri" w:hAnsi="Calibri" w:eastAsia="Calibri"/>
          <w:sz w:val="21"/>
        </w:rPr>
        <w:t xml:space="preserve">Este documento se elaboró con apoyo de </w:t>
      </w:r>
      <w:r>
        <w:rPr>
          <w:rFonts w:ascii="Calibri" w:hAnsi="Calibri" w:eastAsia="Calibri"/>
          <w:b/>
          <w:sz w:val="21"/>
        </w:rPr>
        <w:t>Claude (Anthropic)</w:t>
      </w:r>
      <w:r>
        <w:rPr>
          <w:rFonts w:ascii="Calibri" w:hAnsi="Calibri" w:eastAsia="Calibri"/>
          <w:sz w:val="21"/>
        </w:rPr>
        <w:t>, un modelo de Inteligencia Artificial generativa, entre octubre de 2026. A continuación se indica con transparencia qué hizo la herramienta y qué debe revisar una persona.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3969"/>
        <w:gridCol w:w="3458"/>
      </w:tblGrid>
      <w:tr>
        <w:trPr>
          <w:tblHeader w:val="true"/>
        </w:trPr>
        <w:tc>
          <w:tcPr>
            <w:tcW w:type="dxa" w:w="192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Tarea</w:t>
            </w:r>
          </w:p>
        </w:tc>
        <w:tc>
          <w:tcPr>
            <w:tcW w:type="dxa" w:w="3969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Qué hizo la IA</w:t>
            </w:r>
          </w:p>
        </w:tc>
        <w:tc>
          <w:tcPr>
            <w:tcW w:type="dxa" w:w="345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Qué debe revisar o decidir una persona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Datos y cálculos</w:t>
            </w:r>
          </w:p>
        </w:tc>
        <w:tc>
          <w:tcPr>
            <w:tcW w:type="dxa" w:w="396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Limpió la base y calculó promedios, porcentajes, comparaciones y gráficos con código (Python) guardado en la carpeta `src` del repositorio.</w:t>
            </w:r>
          </w:p>
        </w:tc>
        <w:tc>
          <w:tcPr>
            <w:tcW w:type="dxa" w:w="34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Revisar los scripts y repetir los cálculos ante cualquier duda. Los resultados son reproducibles.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Tarea específica de este documento</w:t>
            </w:r>
          </w:p>
        </w:tc>
        <w:tc>
          <w:tcPr>
            <w:tcW w:type="dxa" w:w="396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Recalcular de forma independiente las cifras clave, revisar el texto y el formato de los productos y registrar hallazgos y correcciones; esta revisión fue hecha por la misma herramienta que elaboró los productos, por lo que no es independiente.</w:t>
            </w:r>
          </w:p>
        </w:tc>
        <w:tc>
          <w:tcPr>
            <w:tcW w:type="dxa" w:w="34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Validar que el enfoque y las conclusiones correspondan al propósito del proyecto.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Respuestas abiertas</w:t>
            </w:r>
          </w:p>
        </w:tc>
        <w:tc>
          <w:tcPr>
            <w:tcW w:type="dxa" w:w="396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Las agrupó por temas de forma automática (clasificación preliminar).</w:t>
            </w:r>
          </w:p>
        </w:tc>
        <w:tc>
          <w:tcPr>
            <w:tcW w:type="dxa" w:w="34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Doble lectura humana y libro de códigos antes de citar conteos.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Redacción y diseño</w:t>
            </w:r>
          </w:p>
        </w:tc>
        <w:tc>
          <w:tcPr>
            <w:tcW w:type="dxa" w:w="396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Redactó, organizó y diseñó tablas, gráficos, diagramas e infografías (ilustraciones propias, sin fotografías de personas).</w:t>
            </w:r>
          </w:p>
        </w:tc>
        <w:tc>
          <w:tcPr>
            <w:tcW w:type="dxa" w:w="34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Revisar el tono, el contenido y la adecuación institucional (por ejemplo, insertar el logo oficial).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Bibliografía</w:t>
            </w:r>
          </w:p>
        </w:tc>
        <w:tc>
          <w:tcPr>
            <w:tcW w:type="dxa" w:w="396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Seleccionó las referencias a partir de su conocimiento de la literatura y, cuando se indica, de resúmenes encontrados en la web.</w:t>
            </w:r>
          </w:p>
        </w:tc>
        <w:tc>
          <w:tcPr>
            <w:tcW w:type="dxa" w:w="34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Verificar autores, volumen, páginas y DOI en la fuente antes de publicar. Lo no verificado está marcado.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Datos personales</w:t>
            </w:r>
          </w:p>
        </w:tc>
        <w:tc>
          <w:tcPr>
            <w:tcW w:type="dxa" w:w="396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No se incluyeron nombres, correos ni códigos de estudiantes; las citas textuales son anónimas.</w:t>
            </w:r>
          </w:p>
        </w:tc>
        <w:tc>
          <w:tcPr>
            <w:tcW w:type="dxa" w:w="34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Mantener la confidencialidad al difundir.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Responsabilidad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La IA </w:t>
            </w:r>
            <w:r>
              <w:rPr>
                <w:rFonts w:ascii="Calibri" w:hAnsi="Calibri" w:eastAsia="Calibri"/>
                <w:b/>
                <w:sz w:val="20"/>
              </w:rPr>
              <w:t>no reemplaza el juicio experto</w:t>
            </w:r>
            <w:r>
              <w:rPr>
                <w:rFonts w:ascii="Calibri" w:hAnsi="Calibri" w:eastAsia="Calibri"/>
                <w:sz w:val="20"/>
              </w:rPr>
              <w:t xml:space="preserve"> ni asume responsabilidad por las decisiones. Las interpretaciones y recomendaciones deben ser revisadas y asumidas por el equipo responsable del Proyecto La Puerta antes de su difusión institucional.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Si algún dato de este documento no coincide con las fuentes, prevalecen las fuentes originales.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  <w:jc w:val="right"/>
    </w:pPr>
    <w:r>
      <w:rPr>
        <w:rFonts w:ascii="Calibri" w:hAnsi="Calibri" w:eastAsia="Calibri"/>
        <w:color w:val="666666"/>
        <w:sz w:val="18"/>
      </w:rPr>
      <w:t xml:space="preserve">Duoc UC · Proyecto La Puerta · Página </w:t>
    </w:r>
    <w:r>
      <w:rPr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  <w:jc w:val="left"/>
    </w:pPr>
    <w:r>
      <w:rPr>
        <w:rFonts w:ascii="Calibri" w:hAnsi="Calibri" w:eastAsia="Calibri"/>
        <w:color w:val="666666"/>
        <w:sz w:val="18"/>
      </w:rPr>
      <w:t>Proyecto La Puerta · Informe de auditoría y verificación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  <w:jc w:val="both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40" w:line="276" w:lineRule="auto"/>
      <w:jc w:val="left"/>
      <w:outlineLvl w:val="0"/>
    </w:pPr>
    <w:rPr>
      <w:rFonts w:ascii="Calibri" w:hAnsi="Calibri" w:eastAsia="Calibri" w:cs="Calibri"/>
      <w:b/>
      <w:bCs/>
      <w:i w:val="0"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40" w:line="276" w:lineRule="auto"/>
      <w:jc w:val="left"/>
      <w:outlineLvl w:val="1"/>
    </w:pPr>
    <w:rPr>
      <w:rFonts w:ascii="Calibri" w:hAnsi="Calibri" w:eastAsia="Calibri" w:cs="Calibri"/>
      <w:b/>
      <w:bCs/>
      <w:i w:val="0"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40" w:line="276" w:lineRule="auto"/>
      <w:jc w:val="left"/>
      <w:outlineLvl w:val="2"/>
    </w:pPr>
    <w:rPr>
      <w:rFonts w:ascii="Calibri" w:hAnsi="Calibri" w:eastAsia="Calibri" w:cs="Calibri"/>
      <w:b/>
      <w:bCs/>
      <w:i w:val="0"/>
      <w:color w:val="6666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240" w:line="276" w:lineRule="auto"/>
      <w:jc w:val="left"/>
      <w:outlineLvl w:val="3"/>
    </w:pPr>
    <w:rPr>
      <w:rFonts w:ascii="Calibri" w:hAnsi="Calibri" w:eastAsia="Calibri" w:cs="Calibri"/>
      <w:b/>
      <w:bCs/>
      <w:i w:val="0"/>
      <w:iCs/>
      <w:color w:val="6666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