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1814" w:hRule="exact"/>
        </w:trPr>
        <w:tc>
          <w:tcPr>
            <w:tcW w:type="dxa" w:w="9354"/>
          </w:tcPr>
          <w:p>
            <w:pPr>
              <w:spacing w:after="0"/>
            </w:pPr>
          </w:p>
          <w:tbl>
            <w:tblPr>
              <w:tblW w:type="dxa" w:w="2948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48"/>
            </w:tblGrid>
            <w:tr>
              <w:tc>
                <w:tcPr>
                  <w:tcW w:type="dxa" w:w="2948"/>
                  <w:tcBorders>
                    <w:top w:val="single" w:sz="6" w:color="999999"/>
                    <w:left w:val="single" w:sz="6" w:color="999999"/>
                    <w:bottom w:val="single" w:sz="6" w:color="999999"/>
                    <w:right w:val="single" w:sz="6" w:color="999999"/>
                  </w:tcBorders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Calibri" w:hAnsi="Calibri" w:eastAsia="Calibri"/>
                      <w:color w:val="666666"/>
                      <w:sz w:val="18"/>
                    </w:rPr>
                    <w:t>[Insertar logo Duoc UC]</w:t>
                  </w:r>
                </w:p>
              </w:tc>
            </w:tr>
          </w:tbl>
          <w:p/>
        </w:tc>
      </w:tr>
      <w:tr>
        <w:trPr>
          <w:trHeight w:val="6010" w:hRule="exact"/>
        </w:trPr>
        <w:tc>
          <w:tcPr>
            <w:tcW w:type="dxa" w:w="9354"/>
            <w:vAlign w:val="center"/>
          </w:tcPr>
          <w:p>
            <w:pPr>
              <w:pBdr>
                <w:bottom w:val="single" w:sz="24" w:space="10" w:color="FFB800"/>
              </w:pBdr>
              <w:spacing w:after="200" w:line="276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8"/>
              </w:rPr>
              <w:t>PROYECTO LA PUERTA: INFORME CONSOLIDADO</w:t>
            </w:r>
          </w:p>
          <w:p>
            <w:pPr>
              <w:spacing w:before="200" w:line="276" w:lineRule="auto"/>
              <w:jc w:val="center"/>
            </w:pPr>
            <w:r>
              <w:rPr>
                <w:rFonts w:ascii="Calibri" w:hAnsi="Calibri" w:eastAsia="Calibri"/>
                <w:color w:val="666666"/>
                <w:sz w:val="24"/>
              </w:rPr>
              <w:t>Lo que dicen juntos el análisis descriptivo y el análisis de hipótesis: conclusiones estratégicas y camino a seguir</w:t>
            </w:r>
          </w:p>
        </w:tc>
      </w:tr>
      <w:tr>
        <w:trPr>
          <w:trHeight w:val="4876" w:hRule="exact"/>
        </w:trPr>
        <w:tc>
          <w:tcPr>
            <w:tcW w:type="dxa" w:w="9354"/>
            <w:vAlign w:val="bottom"/>
          </w:tcPr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Autor y docente responsable: Juan Antonio Carrasco Navarrete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Escuela de Administración y Negocios · Sede San Bernardo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Proyecto La Puerta · Producto C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Octubre de 2026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Elaborado con apoyo de herramientas de Inteligencia Artificial (véase Anexos)</w:t>
            </w:r>
          </w:p>
        </w:tc>
      </w:tr>
    </w:tbl>
    <w:p>
      <w:pPr>
        <w:pStyle w:val="Heading1"/>
        <w:pageBreakBefore/>
        <w:pBdr>
          <w:left w:val="single" w:sz="36" w:space="8" w:color="FFB800"/>
        </w:pBdr>
      </w:pPr>
      <w:r>
        <w:t>Índice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1. INTRODUCCIÓN</w:t>
      </w:r>
      <w:r>
        <w:rPr>
          <w:rFonts w:ascii="Calibri" w:hAnsi="Calibri" w:eastAsia="Calibri"/>
          <w:b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1.1 Tema, contexto y objetivos</w:t>
      </w:r>
      <w:r>
        <w:rPr>
          <w:rFonts w:ascii="Calibri" w:hAnsi="Calibri" w:eastAsia="Calibri"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1.2 Síntesis ejecutiva</w:t>
      </w:r>
      <w:r>
        <w:rPr>
          <w:rFonts w:ascii="Calibri" w:hAnsi="Calibri" w:eastAsia="Calibri"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2. DESARROLLO</w:t>
      </w:r>
      <w:r>
        <w:rPr>
          <w:rFonts w:ascii="Calibri" w:hAnsi="Calibri" w:eastAsia="Calibri"/>
          <w:b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2.1 Comparación entre ambos enfoques</w:t>
      </w:r>
      <w:r>
        <w:rPr>
          <w:rFonts w:ascii="Calibri" w:hAnsi="Calibri" w:eastAsia="Calibri"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2.2 Coincidencias y discrepancias</w:t>
      </w:r>
      <w:r>
        <w:rPr>
          <w:rFonts w:ascii="Calibri" w:hAnsi="Calibri" w:eastAsia="Calibri"/>
          <w:color w:val="1A1A1A"/>
          <w:sz w:val="22"/>
        </w:rPr>
        <w:tab/>
        <w:t>6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2.3 Factores críticos</w:t>
      </w:r>
      <w:r>
        <w:rPr>
          <w:rFonts w:ascii="Calibri" w:hAnsi="Calibri" w:eastAsia="Calibri"/>
          <w:color w:val="1A1A1A"/>
          <w:sz w:val="22"/>
        </w:rPr>
        <w:tab/>
        <w:t>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2.4 Oportunidades de mejora</w:t>
      </w:r>
      <w:r>
        <w:rPr>
          <w:rFonts w:ascii="Calibri" w:hAnsi="Calibri" w:eastAsia="Calibri"/>
          <w:color w:val="1A1A1A"/>
          <w:sz w:val="22"/>
        </w:rPr>
        <w:tab/>
        <w:t>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2.5 Recomendaciones estratégicas priorizadas</w:t>
      </w:r>
      <w:r>
        <w:rPr>
          <w:rFonts w:ascii="Calibri" w:hAnsi="Calibri" w:eastAsia="Calibri"/>
          <w:color w:val="1A1A1A"/>
          <w:sz w:val="22"/>
        </w:rPr>
        <w:tab/>
        <w:t>8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3. CONCLUSIÓN</w:t>
      </w:r>
      <w:r>
        <w:rPr>
          <w:rFonts w:ascii="Calibri" w:hAnsi="Calibri" w:eastAsia="Calibri"/>
          <w:b/>
          <w:color w:val="1A1A1A"/>
          <w:sz w:val="22"/>
        </w:rPr>
        <w:tab/>
        <w:t>10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3.1 Conclusiones generales</w:t>
      </w:r>
      <w:r>
        <w:rPr>
          <w:rFonts w:ascii="Calibri" w:hAnsi="Calibri" w:eastAsia="Calibri"/>
          <w:color w:val="1A1A1A"/>
          <w:sz w:val="22"/>
        </w:rPr>
        <w:tab/>
        <w:t>10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4. REFERENCIAS</w:t>
      </w:r>
      <w:r>
        <w:rPr>
          <w:rFonts w:ascii="Calibri" w:hAnsi="Calibri" w:eastAsia="Calibri"/>
          <w:b/>
          <w:color w:val="1A1A1A"/>
          <w:sz w:val="22"/>
        </w:rPr>
        <w:tab/>
        <w:t>11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5. ANEXOS</w:t>
      </w:r>
      <w:r>
        <w:rPr>
          <w:rFonts w:ascii="Calibri" w:hAnsi="Calibri" w:eastAsia="Calibri"/>
          <w:b/>
          <w:color w:val="1A1A1A"/>
          <w:sz w:val="22"/>
        </w:rPr>
        <w:tab/>
        <w:t>13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5.1 Trazabilidad de las cifras clave</w:t>
      </w:r>
      <w:r>
        <w:rPr>
          <w:rFonts w:ascii="Calibri" w:hAnsi="Calibri" w:eastAsia="Calibri"/>
          <w:color w:val="1A1A1A"/>
          <w:sz w:val="22"/>
        </w:rPr>
        <w:tab/>
        <w:t>13</w:t>
      </w:r>
    </w:p>
    <w:p>
      <w:pPr>
        <w:pStyle w:val="Heading1"/>
        <w:pageBreakBefore/>
        <w:pBdr>
          <w:left w:val="single" w:sz="36" w:space="8" w:color="FFB800"/>
        </w:pBdr>
      </w:pPr>
      <w:r>
        <w:t>1. INTRODUCCIÓN</w:t>
      </w:r>
    </w:p>
    <w:p>
      <w:pPr>
        <w:pStyle w:val="Heading2"/>
        <w:pBdr>
          <w:left w:val="single" w:sz="28" w:space="8" w:color="FFB800"/>
        </w:pBdr>
      </w:pPr>
      <w:r>
        <w:t>1.1 Tema, contexto y objetivos</w:t>
      </w:r>
    </w:p>
    <w:p>
      <w:pPr>
        <w:pStyle w:val="Heading3"/>
      </w:pPr>
      <w:r>
        <w:t>Tema</w:t>
      </w:r>
    </w:p>
    <w:p>
      <w:r>
        <w:rPr>
          <w:rFonts w:ascii="Calibri" w:hAnsi="Calibri" w:eastAsia="Calibri"/>
        </w:rPr>
        <w:t>La integración de los resultados del análisis descriptivo (Informe A) y del análisis con hipótesis (Informe B) de la encuesta del Proyecto La Puerta.</w:t>
      </w:r>
    </w:p>
    <w:p>
      <w:pPr>
        <w:pStyle w:val="Heading3"/>
      </w:pPr>
      <w:r>
        <w:t>Contexto</w:t>
      </w:r>
    </w:p>
    <w:p>
      <w:r>
        <w:rPr>
          <w:rFonts w:ascii="Calibri" w:hAnsi="Calibri" w:eastAsia="Calibri"/>
        </w:rPr>
        <w:t>Los Informes A y B parten de los mismos datos (n = 184) y responden preguntas distintas. Este informe los lee en conjunto para extraer conclusiones estratégicas y recomendaciones priorizadas.</w:t>
      </w:r>
    </w:p>
    <w:p>
      <w:pPr>
        <w:pStyle w:val="Heading3"/>
      </w:pPr>
      <w:r>
        <w:t>Objetivos</w:t>
      </w:r>
    </w:p>
    <w:p>
      <w:r>
        <w:rPr>
          <w:rFonts w:ascii="Calibri" w:hAnsi="Calibri" w:eastAsia="Calibri"/>
          <w:b/>
        </w:rPr>
        <w:t>Objetivo general.</w:t>
      </w:r>
      <w:r>
        <w:rPr>
          <w:rFonts w:ascii="Calibri" w:hAnsi="Calibri" w:eastAsia="Calibri"/>
        </w:rPr>
        <w:t xml:space="preserve"> Integrar los hallazgos de ambos enfoques, identificar coincidencias y discrepancias y priorizar recomendaciones para la toma de decisiones.</w:t>
      </w:r>
    </w:p>
    <w:p>
      <w:pPr>
        <w:spacing w:after="40"/>
      </w:pPr>
      <w:r>
        <w:rPr>
          <w:rFonts w:ascii="Calibri" w:hAnsi="Calibri" w:eastAsia="Calibri"/>
          <w:b/>
        </w:rPr>
        <w:t>Objetivos específicos: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Sintetizar los hallazgos principales.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Comparar los dos enfoques de análisis.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Identificar factores críticos y oportunidades de mejora.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Priorizar recomendaciones estratégicas con indicadores de éxito.</w:t>
      </w:r>
    </w:p>
    <w:p>
      <w:pPr>
        <w:pStyle w:val="Heading3"/>
      </w:pPr>
      <w:r>
        <w:t>Organización del texto</w:t>
      </w:r>
    </w:p>
    <w:p>
      <w:r>
        <w:rPr>
          <w:rFonts w:ascii="Calibri" w:hAnsi="Calibri" w:eastAsia="Calibri"/>
        </w:rPr>
        <w:t>El documento se organiza en cinco partes: la Introducción (síntesis ejecutiva); el Desarrollo (comparación de enfoques, coincidencias y discrepancias, factores críticos, oportunidades y recomendaciones); la Conclusión; las Referencias integradas; y los Anexos (trazabilidad y declaración de uso de IA).</w:t>
      </w:r>
    </w:p>
    <w:p>
      <w:pPr>
        <w:pStyle w:val="Heading2"/>
        <w:pBdr>
          <w:left w:val="single" w:sz="28" w:space="8" w:color="FFB800"/>
        </w:pBdr>
      </w:pPr>
      <w:r>
        <w:t>1.2 Síntesis ejecutiva</w:t>
      </w:r>
    </w:p>
    <w:p>
      <w:r>
        <w:rPr>
          <w:rFonts w:ascii="Calibri" w:hAnsi="Calibri" w:eastAsia="Calibri"/>
        </w:rPr>
        <w:t xml:space="preserve">Los </w:t>
      </w:r>
      <w:r>
        <w:rPr>
          <w:rFonts w:ascii="Calibri" w:hAnsi="Calibri" w:eastAsia="Calibri"/>
          <w:b/>
        </w:rPr>
        <w:t>184 estudiantes</w:t>
      </w:r>
      <w:r>
        <w:rPr>
          <w:rFonts w:ascii="Calibri" w:hAnsi="Calibri" w:eastAsia="Calibri"/>
        </w:rPr>
        <w:t xml:space="preserve"> que respondieron la encuesta del Proyecto La Puerta muestran una preparación percibida </w:t>
      </w:r>
      <w:r>
        <w:rPr>
          <w:rFonts w:ascii="Calibri" w:hAnsi="Calibri" w:eastAsia="Calibri"/>
          <w:b/>
        </w:rPr>
        <w:t>razonablemente buena (3,87 de 5)</w:t>
      </w:r>
      <w:r>
        <w:rPr>
          <w:rFonts w:ascii="Calibri" w:hAnsi="Calibri" w:eastAsia="Calibri"/>
        </w:rPr>
        <w:t xml:space="preserve">, con fortalezas de actitud (diálogo en equipo, ética, ganas de aprender) y una brecha nítida en lo que depende del </w:t>
      </w:r>
      <w:r>
        <w:rPr>
          <w:rFonts w:ascii="Calibri" w:hAnsi="Calibri" w:eastAsia="Calibri"/>
          <w:b/>
        </w:rPr>
        <w:t>contacto con el mundo laboral real</w:t>
      </w:r>
      <w:r>
        <w:rPr>
          <w:rFonts w:ascii="Calibri" w:hAnsi="Calibri" w:eastAsia="Calibri"/>
        </w:rPr>
        <w:t xml:space="preserve">: conocer las tareas y exigencias, comprobar si el trabajo calza con los propios intereses y, sobre todo, </w:t>
      </w:r>
      <w:r>
        <w:rPr>
          <w:rFonts w:ascii="Calibri" w:hAnsi="Calibri" w:eastAsia="Calibri"/>
          <w:b/>
        </w:rPr>
        <w:t>contar con una red de contactos</w:t>
      </w:r>
      <w:r>
        <w:rPr>
          <w:rFonts w:ascii="Calibri" w:hAnsi="Calibri" w:eastAsia="Calibri"/>
        </w:rPr>
        <w:t>.</w:t>
      </w:r>
    </w:p>
    <w:tbl>
      <w:tblPr>
        <w:tblW w:type="dxa" w:w="935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3,87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puntaje global</w:t>
              <w:br/>
              <w:t>(1 a 5)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41 %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tiene red de contactos</w:t>
              <w:br/>
              <w:t>(brecha mayor)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83 %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quiere proyectos</w:t>
              <w:br/>
              <w:t>con empresas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+0,17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ventaja con práctica</w:t>
              <w:br/>
              <w:t>previa (esperada: 0,8–1,2)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4"/>
      </w:pPr>
      <w:r>
        <w:t>La historia en cinco frases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1.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Hay una base sólida:</w:t>
      </w:r>
      <w:r>
        <w:rPr>
          <w:rFonts w:ascii="Calibri" w:hAnsi="Calibri" w:eastAsia="Calibri"/>
        </w:rPr>
        <w:t xml:space="preserve"> siete de cada diez respuestas son favorables y ninguna dimensión cae bajo el 3,50.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2.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El punto débil es la red de contactos</w:t>
      </w:r>
      <w:r>
        <w:rPr>
          <w:rFonts w:ascii="Calibri" w:hAnsi="Calibri" w:eastAsia="Calibri"/>
        </w:rPr>
        <w:t>, y lo es para todos los perfiles: lo confirman tanto la descripción como la prueba de hipótesis.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3.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 que se asocia con sentirse seguro de adaptarse es conocer y probar el trabajo real</w:t>
      </w:r>
      <w:r>
        <w:rPr>
          <w:rFonts w:ascii="Calibri" w:hAnsi="Calibri" w:eastAsia="Calibri"/>
        </w:rPr>
        <w:t>, más que haber tenido una práctica previa en sí.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4.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práctica previa ayuda, pero la brecha es pequeña</w:t>
      </w:r>
      <w:r>
        <w:rPr>
          <w:rFonts w:ascii="Calibri" w:hAnsi="Calibri" w:eastAsia="Calibri"/>
        </w:rPr>
        <w:t xml:space="preserve"> (+0,17) frente a la proyectada por el proyecto (0,8–1,2): la hipótesis central se sostiene en dirección, no en magnitud.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5.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El efecto de La Puerta sigue sin poder medirse</w:t>
      </w:r>
      <w:r>
        <w:rPr>
          <w:rFonts w:ascii="Calibri" w:hAnsi="Calibri" w:eastAsia="Calibri"/>
        </w:rPr>
        <w:t xml:space="preserve"> porque la base no trae código, momento ni grupo; es la corrección más urgente y más barata.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Mensaje para la toma de decisiones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Invertir en </w:t>
            </w:r>
            <w:r>
              <w:rPr>
                <w:rFonts w:ascii="Calibri" w:hAnsi="Calibri" w:eastAsia="Calibri"/>
                <w:b/>
                <w:sz w:val="20"/>
              </w:rPr>
              <w:t>contacto real con el trabajo y con personas de empresas</w:t>
            </w:r>
            <w:r>
              <w:rPr>
                <w:rFonts w:ascii="Calibri" w:hAnsi="Calibri" w:eastAsia="Calibri"/>
                <w:sz w:val="20"/>
              </w:rPr>
              <w:t xml:space="preserve"> (redes, microexperiencias, simulaciones) responde a lo que los datos muestran como brecha, a lo que los estudiantes piden con sus palabras y a una demanda alta y homogénea (83 %). Antes de escalar el programa, </w:t>
            </w:r>
            <w:r>
              <w:rPr>
                <w:rFonts w:ascii="Calibri" w:hAnsi="Calibri" w:eastAsia="Calibri"/>
                <w:b/>
                <w:sz w:val="20"/>
              </w:rPr>
              <w:t>corregir el diseño de medición</w:t>
            </w:r>
            <w:r>
              <w:rPr>
                <w:rFonts w:ascii="Calibri" w:hAnsi="Calibri" w:eastAsia="Calibri"/>
                <w:sz w:val="20"/>
              </w:rPr>
              <w:t xml:space="preserve"> para poder demostrar su efecto.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Una advertencia importante sobre los datos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base trae </w:t>
            </w:r>
            <w:r>
              <w:rPr>
                <w:rFonts w:ascii="Calibri" w:hAnsi="Calibri" w:eastAsia="Calibri"/>
                <w:b/>
                <w:sz w:val="20"/>
              </w:rPr>
              <w:t>184 respuestas de un solo momento</w:t>
            </w:r>
            <w:r>
              <w:rPr>
                <w:rFonts w:ascii="Calibri" w:hAnsi="Calibri" w:eastAsia="Calibri"/>
                <w:sz w:val="20"/>
              </w:rPr>
              <w:t xml:space="preserve">. Los campos que permitirían comparar «antes y después» o «grupo La Puerta vs. grupo de comparación» (código de estudiante, momento de medición y grupo de asignación) vienen </w:t>
            </w:r>
            <w:r>
              <w:rPr>
                <w:rFonts w:ascii="Calibri" w:hAnsi="Calibri" w:eastAsia="Calibri"/>
                <w:b/>
                <w:sz w:val="20"/>
              </w:rPr>
              <w:t>vacíos en las 184 filas</w:t>
            </w:r>
            <w:r>
              <w:rPr>
                <w:rFonts w:ascii="Calibri" w:hAnsi="Calibri" w:eastAsia="Calibri"/>
                <w:sz w:val="20"/>
              </w:rPr>
              <w:t>, igual que la pregunta de valoración del programa (POST_EXP1).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Por eso este análisis describe </w:t>
            </w:r>
            <w:r>
              <w:rPr>
                <w:rFonts w:ascii="Calibri" w:hAnsi="Calibri" w:eastAsia="Calibri"/>
                <w:b/>
                <w:sz w:val="20"/>
              </w:rPr>
              <w:t>cómo se perciben hoy los estudiantes</w:t>
            </w:r>
            <w:r>
              <w:rPr>
                <w:rFonts w:ascii="Calibri" w:hAnsi="Calibri" w:eastAsia="Calibri"/>
                <w:sz w:val="20"/>
              </w:rPr>
              <w:t xml:space="preserve"> y contrasta hipótesis sobre </w:t>
            </w:r>
            <w:r>
              <w:rPr>
                <w:rFonts w:ascii="Calibri" w:hAnsi="Calibri" w:eastAsia="Calibri"/>
                <w:b/>
                <w:sz w:val="20"/>
              </w:rPr>
              <w:t>diferencias entre perfiles</w:t>
            </w:r>
            <w:r>
              <w:rPr>
                <w:rFonts w:ascii="Calibri" w:hAnsi="Calibri" w:eastAsia="Calibri"/>
                <w:sz w:val="20"/>
              </w:rPr>
              <w:t xml:space="preserve"> (por ejemplo, con y sin práctica previa). </w:t>
            </w:r>
            <w:r>
              <w:rPr>
                <w:rFonts w:ascii="Calibri" w:hAnsi="Calibri" w:eastAsia="Calibri"/>
                <w:b/>
                <w:sz w:val="20"/>
              </w:rPr>
              <w:t>No puede afirmar que el programa La Puerta produzca cambios</w:t>
            </w:r>
            <w:r>
              <w:rPr>
                <w:rFonts w:ascii="Calibri" w:hAnsi="Calibri" w:eastAsia="Calibri"/>
                <w:sz w:val="20"/>
              </w:rPr>
              <w:t>: eso requiere medir a las mismas personas antes y después, con un grupo de comparación.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2. DESARROLLO</w:t>
      </w:r>
    </w:p>
    <w:p>
      <w:pPr>
        <w:pStyle w:val="Heading2"/>
        <w:pBdr>
          <w:left w:val="single" w:sz="28" w:space="8" w:color="FFB800"/>
        </w:pBdr>
      </w:pPr>
      <w:r>
        <w:t>2.1 Comparación entre ambos enfoques</w:t>
      </w:r>
    </w:p>
    <w:p>
      <w:r>
        <w:rPr>
          <w:rFonts w:ascii="Calibri" w:hAnsi="Calibri" w:eastAsia="Calibri"/>
        </w:rPr>
        <w:t xml:space="preserve">Los dos informes parten de los mismos datos y responden preguntas distintas. Mirarlos juntos evita dos errores frecuentes: </w:t>
      </w:r>
      <w:r>
        <w:rPr>
          <w:rFonts w:ascii="Calibri" w:hAnsi="Calibri" w:eastAsia="Calibri"/>
          <w:b/>
        </w:rPr>
        <w:t>creer que toda diferencia observada es real</w:t>
      </w:r>
      <w:r>
        <w:rPr>
          <w:rFonts w:ascii="Calibri" w:hAnsi="Calibri" w:eastAsia="Calibri"/>
        </w:rPr>
        <w:t xml:space="preserve"> (error del descriptivo solo) y </w:t>
      </w:r>
      <w:r>
        <w:rPr>
          <w:rFonts w:ascii="Calibri" w:hAnsi="Calibri" w:eastAsia="Calibri"/>
          <w:b/>
        </w:rPr>
        <w:t>creer que lo «no significativo» no existe</w:t>
      </w:r>
      <w:r>
        <w:rPr>
          <w:rFonts w:ascii="Calibri" w:hAnsi="Calibri" w:eastAsia="Calibri"/>
        </w:rPr>
        <w:t xml:space="preserve"> (error del contraste solo).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803"/>
        <w:gridCol w:w="3776"/>
        <w:gridCol w:w="3776"/>
      </w:tblGrid>
      <w:tr>
        <w:trPr>
          <w:tblHeader w:val="true"/>
        </w:trPr>
        <w:tc>
          <w:tcPr>
            <w:tcW w:type="dxa" w:w="1803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77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Informe A · Descriptivo</w:t>
            </w:r>
          </w:p>
        </w:tc>
        <w:tc>
          <w:tcPr>
            <w:tcW w:type="dxa" w:w="377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Informe B · Con hipótesis</w:t>
            </w:r>
          </w:p>
        </w:tc>
      </w:tr>
      <w:tr>
        <w:trPr>
          <w:cantSplit/>
        </w:trPr>
        <w:tc>
          <w:tcPr>
            <w:tcW w:type="dxa" w:w="180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Pregunta que responde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¿Cómo se perciben hoy los estudiantes? ¿Dónde están las fortalezas y brechas?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¿Las diferencias entre perfiles son suficientemente grandes como para no deberse al azar? ¿Se cumple lo que el proyecto esperaba?</w:t>
            </w:r>
          </w:p>
        </w:tc>
      </w:tr>
      <w:tr>
        <w:trPr>
          <w:cantSplit/>
        </w:trPr>
        <w:tc>
          <w:tcPr>
            <w:tcW w:type="dxa" w:w="180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Qué hace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Describe promedios, porcentajes, semáforo, perfiles y comentarios abiertos.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Contrasta 6 hipótesis con reglas de decisión definidas de antemano, corrige comparaciones múltiples y estima tamaños de efecto.</w:t>
            </w:r>
          </w:p>
        </w:tc>
      </w:tr>
      <w:tr>
        <w:trPr>
          <w:cantSplit/>
        </w:trPr>
        <w:tc>
          <w:tcPr>
            <w:tcW w:type="dxa" w:w="180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Fortaleza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Cercano, intuitivo, útil para priorizar y comunicar.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Disciplina frente a la sobreinterpretación; usa los umbrales del propio proyecto.</w:t>
            </w:r>
          </w:p>
        </w:tc>
      </w:tr>
      <w:tr>
        <w:trPr>
          <w:cantSplit/>
        </w:trPr>
        <w:tc>
          <w:tcPr>
            <w:tcW w:type="dxa" w:w="180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Riesgo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Leer como «real» una diferencia pequeña o casual (p. ej., el «valle» de 3.º–4.º).</w:t>
            </w:r>
          </w:p>
        </w:tc>
        <w:tc>
          <w:tcPr>
            <w:tcW w:type="dxa" w:w="377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Poca potencia: no detecta diferencias menores a 0,28 puntos; no responde causalidad.</w:t>
            </w:r>
          </w:p>
        </w:tc>
      </w:tr>
      <w:tr>
        <w:trPr>
          <w:cantSplit/>
        </w:trPr>
        <w:tc>
          <w:tcPr>
            <w:tcW w:type="dxa" w:w="180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Qué aporta al otro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Identifica qué mirar: P12, D1, tramo 3.º–4.º, semáforo rojo.</w:t>
            </w:r>
          </w:p>
        </w:tc>
        <w:tc>
          <w:tcPr>
            <w:tcW w:type="dxa" w:w="377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Dice cuáles de esas pistas resisten un examen riguroso y cuáles no.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72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5_hipote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2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1. Resultados de las seis hipótesis (síntesis del Informe B).</w:t>
      </w:r>
    </w:p>
    <w:p>
      <w:pPr>
        <w:pStyle w:val="Heading2"/>
        <w:pBdr>
          <w:left w:val="single" w:sz="28" w:space="8" w:color="FFB800"/>
        </w:pBdr>
      </w:pPr>
      <w:r>
        <w:t>2.2 Coincidencias y discrepancias</w:t>
      </w:r>
    </w:p>
    <w:p>
      <w:pPr>
        <w:pStyle w:val="Heading3"/>
      </w:pPr>
      <w:r>
        <w:t>3.1 Donde ambos enfoques coinciden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16"/>
        <w:gridCol w:w="2705"/>
        <w:gridCol w:w="3043"/>
        <w:gridCol w:w="1690"/>
      </w:tblGrid>
      <w:tr>
        <w:trPr>
          <w:tblHeader w:val="true"/>
        </w:trPr>
        <w:tc>
          <w:tcPr>
            <w:tcW w:type="dxa" w:w="191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2705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Informe A (descriptivo)</w:t>
            </w:r>
          </w:p>
        </w:tc>
        <w:tc>
          <w:tcPr>
            <w:tcW w:type="dxa" w:w="3043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Informe B (hipótesis)</w:t>
            </w:r>
          </w:p>
        </w:tc>
        <w:tc>
          <w:tcPr>
            <w:tcW w:type="dxa" w:w="169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Confianza</w:t>
            </w:r>
          </w:p>
        </w:tc>
      </w:tr>
      <w:tr>
        <w:trPr>
          <w:cantSplit/>
        </w:trPr>
        <w:tc>
          <w:tcPr>
            <w:tcW w:type="dxa" w:w="191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Red de contactos débil</w:t>
            </w:r>
          </w:p>
        </w:tc>
        <w:tc>
          <w:tcPr>
            <w:tcW w:type="dxa" w:w="270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P12 = 41 % de acuerdo; la más baja de las 15.</w:t>
            </w:r>
          </w:p>
        </w:tc>
        <w:tc>
          <w:tcPr>
            <w:tcW w:type="dxa" w:w="30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H3 respaldada: P12 menor que las otras 14 afirmaciones (p ajustado &lt; 0,001).</w:t>
            </w:r>
          </w:p>
        </w:tc>
        <w:tc>
          <w:tcPr>
            <w:tcW w:type="dxa" w:w="169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91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Alta demanda de vincularse con empresas</w:t>
            </w:r>
          </w:p>
        </w:tc>
        <w:tc>
          <w:tcPr>
            <w:tcW w:type="dxa" w:w="270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P15 = 83 % de acuerdo; tema más pedido en comentarios (simulación, terreno).</w:t>
            </w:r>
          </w:p>
        </w:tc>
        <w:tc>
          <w:tcPr>
            <w:tcW w:type="dxa" w:w="30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H5 respaldada: &gt; 70 % (p &lt; 0,001); homogénea entre perfiles.</w:t>
            </w:r>
          </w:p>
        </w:tc>
        <w:tc>
          <w:tcPr>
            <w:tcW w:type="dxa" w:w="169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91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Práctica previa: ventaja pequeña</w:t>
            </w:r>
          </w:p>
        </w:tc>
        <w:tc>
          <w:tcPr>
            <w:tcW w:type="dxa" w:w="270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Con práctica puntúan algo más (+0,17); 14 % rojos vs. 25 %.</w:t>
            </w:r>
          </w:p>
        </w:tc>
        <w:tc>
          <w:tcPr>
            <w:tcW w:type="dxa" w:w="30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H1 parcial: dirección esperada, magnitud mucho menor a la proyectada; no concluyente.</w:t>
            </w:r>
          </w:p>
        </w:tc>
        <w:tc>
          <w:tcPr>
            <w:tcW w:type="dxa" w:w="1691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Media-alta</w:t>
            </w:r>
          </w:p>
        </w:tc>
      </w:tr>
      <w:tr>
        <w:trPr>
          <w:cantSplit/>
        </w:trPr>
        <w:tc>
          <w:tcPr>
            <w:tcW w:type="dxa" w:w="191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Conocer el trabajo real importa</w:t>
            </w:r>
          </w:p>
        </w:tc>
        <w:tc>
          <w:tcPr>
            <w:tcW w:type="dxa" w:w="270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P01, P02, P09 bajo 70 %; piden salidas y simulaciones; sin práctica «no tienen aprendizaje que contar».</w:t>
            </w:r>
          </w:p>
        </w:tc>
        <w:tc>
          <w:tcPr>
            <w:tcW w:type="dxa" w:w="30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H4 respaldada: P01, P05 y P09 se asocian con seguridad de adaptarse (R² ≈ 49 %).</w:t>
            </w:r>
          </w:p>
        </w:tc>
        <w:tc>
          <w:tcPr>
            <w:tcW w:type="dxa" w:w="1691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Media (asociación)</w:t>
            </w:r>
          </w:p>
        </w:tc>
      </w:tr>
      <w:tr>
        <w:trPr>
          <w:cantSplit/>
        </w:trPr>
        <w:tc>
          <w:tcPr>
            <w:tcW w:type="dxa" w:w="191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Año de estudio no ordena los resultados</w:t>
            </w:r>
          </w:p>
        </w:tc>
        <w:tc>
          <w:tcPr>
            <w:tcW w:type="dxa" w:w="270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Sin escalera; 3.º–4.º semestre más bajo.</w:t>
            </w:r>
          </w:p>
        </w:tc>
        <w:tc>
          <w:tcPr>
            <w:tcW w:type="dxa" w:w="30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H2 no respaldada (p ajustado ≥ 0,49).</w:t>
            </w:r>
          </w:p>
        </w:tc>
        <w:tc>
          <w:tcPr>
            <w:tcW w:type="dxa" w:w="1691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Media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3.2 Donde se separan (y cómo leerlo)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634"/>
        <w:gridCol w:w="2479"/>
        <w:gridCol w:w="2648"/>
        <w:gridCol w:w="2592"/>
      </w:tblGrid>
      <w:tr>
        <w:trPr>
          <w:tblHeader w:val="true"/>
        </w:trPr>
        <w:tc>
          <w:tcPr>
            <w:tcW w:type="dxa" w:w="163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247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Lectura descriptiva</w:t>
            </w:r>
          </w:p>
        </w:tc>
        <w:tc>
          <w:tcPr>
            <w:tcW w:type="dxa" w:w="264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Lectura con hipótesis</w:t>
            </w:r>
          </w:p>
        </w:tc>
        <w:tc>
          <w:tcPr>
            <w:tcW w:type="dxa" w:w="259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Cómo integrarlo</w:t>
            </w:r>
          </w:p>
        </w:tc>
      </w:tr>
      <w:tr>
        <w:trPr>
          <w:cantSplit/>
        </w:trPr>
        <w:tc>
          <w:tcPr>
            <w:tcW w:type="dxa" w:w="163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Práctica previa</w:t>
            </w:r>
          </w:p>
        </w:tc>
        <w:tc>
          <w:tcPr>
            <w:tcW w:type="dxa" w:w="2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Puntúan más alto en las 5 dimensiones; mayor distancia en D1 (+0,33).</w:t>
            </w:r>
          </w:p>
        </w:tc>
        <w:tc>
          <w:tcPr>
            <w:tcW w:type="dxa" w:w="2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Ninguna diferencia resiste la corrección por pruebas múltiples; el efecto detectable mínimo es 0,28.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 xml:space="preserve">Hay una </w:t>
            </w:r>
            <w:r>
              <w:rPr>
                <w:rFonts w:ascii="Calibri" w:hAnsi="Calibri" w:eastAsia="Calibri"/>
                <w:b/>
                <w:sz w:val="17"/>
              </w:rPr>
              <w:t>tendencia positiva real pero pequeña</w:t>
            </w:r>
            <w:r>
              <w:rPr>
                <w:rFonts w:ascii="Calibri" w:hAnsi="Calibri" w:eastAsia="Calibri"/>
                <w:sz w:val="17"/>
              </w:rPr>
              <w:t>; no basar decisiones fuertes en D1 solamente.</w:t>
            </w:r>
          </w:p>
        </w:tc>
      </w:tr>
      <w:tr>
        <w:trPr>
          <w:cantSplit/>
        </w:trPr>
        <w:tc>
          <w:tcPr>
            <w:tcW w:type="dxa" w:w="163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Dimensión D4</w:t>
            </w:r>
          </w:p>
        </w:tc>
        <w:tc>
          <w:tcPr>
            <w:tcW w:type="dxa" w:w="2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D4 = 3,72 («amarillo»): parece una dimensión regular.</w:t>
            </w:r>
          </w:p>
        </w:tc>
        <w:tc>
          <w:tcPr>
            <w:tcW w:type="dxa" w:w="2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D4 mezcla P15 (alto) y P11–P12 (bajos); alfa = 0,64. Redes puras = 3,45.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Separar «interés» de «red»</w:t>
            </w:r>
            <w:r>
              <w:rPr>
                <w:rFonts w:ascii="Calibri" w:hAnsi="Calibri" w:eastAsia="Calibri"/>
                <w:sz w:val="17"/>
              </w:rPr>
              <w:t xml:space="preserve"> en el próximo instrumento; el promedio de D4 oculta el problema.</w:t>
            </w:r>
          </w:p>
        </w:tc>
      </w:tr>
      <w:tr>
        <w:trPr>
          <w:cantSplit/>
        </w:trPr>
        <w:tc>
          <w:tcPr>
            <w:tcW w:type="dxa" w:w="163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Año de estudio</w:t>
            </w:r>
          </w:p>
        </w:tc>
        <w:tc>
          <w:tcPr>
            <w:tcW w:type="dxa" w:w="2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5.º semestre o más puntúa más alto (3,99).</w:t>
            </w:r>
          </w:p>
        </w:tc>
        <w:tc>
          <w:tcPr>
            <w:tcW w:type="dxa" w:w="2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No significativo (p ajustado 0,49).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 xml:space="preserve">Tratar el «valle» de 3.º–4.º como </w:t>
            </w:r>
            <w:r>
              <w:rPr>
                <w:rFonts w:ascii="Calibri" w:hAnsi="Calibri" w:eastAsia="Calibri"/>
                <w:b/>
                <w:sz w:val="17"/>
              </w:rPr>
              <w:t>hipótesis para la próxima cohorte</w:t>
            </w:r>
            <w:r>
              <w:rPr>
                <w:rFonts w:ascii="Calibri" w:hAnsi="Calibri" w:eastAsia="Calibri"/>
                <w:sz w:val="17"/>
              </w:rPr>
              <w:t>, no como hecho.</w:t>
            </w:r>
          </w:p>
        </w:tc>
      </w:tr>
      <w:tr>
        <w:trPr>
          <w:cantSplit/>
        </w:trPr>
        <w:tc>
          <w:tcPr>
            <w:tcW w:type="dxa" w:w="163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Magnitud del problema</w:t>
            </w:r>
          </w:p>
        </w:tc>
        <w:tc>
          <w:tcPr>
            <w:tcW w:type="dxa" w:w="247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Cohorte en el rango «mixto» (3,87).</w:t>
            </w:r>
          </w:p>
        </w:tc>
        <w:tc>
          <w:tcPr>
            <w:tcW w:type="dxa" w:w="2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Pero sin la brecha por experiencia previa que define a ese escenario.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 xml:space="preserve">No segregar por «práctica previa sí/no»; focalizar por </w:t>
            </w:r>
            <w:r>
              <w:rPr>
                <w:rFonts w:ascii="Calibri" w:hAnsi="Calibri" w:eastAsia="Calibri"/>
                <w:b/>
                <w:sz w:val="17"/>
              </w:rPr>
              <w:t>semáforo rojo</w:t>
            </w:r>
            <w:r>
              <w:rPr>
                <w:rFonts w:ascii="Calibri" w:hAnsi="Calibri" w:eastAsia="Calibri"/>
                <w:sz w:val="17"/>
              </w:rPr>
              <w:t xml:space="preserve"> y por brechas específicas.</w:t>
            </w:r>
          </w:p>
        </w:tc>
      </w:tr>
      <w:tr>
        <w:trPr>
          <w:cantSplit/>
        </w:trPr>
        <w:tc>
          <w:tcPr>
            <w:tcW w:type="dxa" w:w="163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Qué sostiene la confianza</w:t>
            </w:r>
          </w:p>
        </w:tc>
        <w:tc>
          <w:tcPr>
            <w:tcW w:type="dxa" w:w="24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Comentarios abiertos: «el resto es solo relleno», «no he tenido práctica».</w:t>
            </w:r>
          </w:p>
        </w:tc>
        <w:tc>
          <w:tcPr>
            <w:tcW w:type="dxa" w:w="2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Quienes no declaran aprendizaje tienen índice más bajo (3,64 vs. 3,92; p = 0,023).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 xml:space="preserve">La voz estudiantil y los datos </w:t>
            </w:r>
            <w:r>
              <w:rPr>
                <w:rFonts w:ascii="Calibri" w:hAnsi="Calibri" w:eastAsia="Calibri"/>
                <w:b/>
                <w:sz w:val="17"/>
              </w:rPr>
              <w:t>coinciden</w:t>
            </w:r>
            <w:r>
              <w:rPr>
                <w:rFonts w:ascii="Calibri" w:hAnsi="Calibri" w:eastAsia="Calibri"/>
                <w:sz w:val="17"/>
              </w:rPr>
              <w:t>; vale la pena tomar en serio las respuestas «negativas».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Una convergencia con consecuencias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Tanto la descripción como el contraste señalan lo mismo desde dos ángulos: </w:t>
            </w:r>
            <w:r>
              <w:rPr>
                <w:rFonts w:ascii="Calibri" w:hAnsi="Calibri" w:eastAsia="Calibri"/>
                <w:b/>
                <w:sz w:val="20"/>
              </w:rPr>
              <w:t>lo que cambia la seguridad de los estudiantes no es el rótulo «tiene o no tiene práctica», sino lo que aprendió o vio en ella.</w:t>
            </w:r>
            <w:r>
              <w:rPr>
                <w:rFonts w:ascii="Calibri" w:hAnsi="Calibri" w:eastAsia="Calibri"/>
                <w:sz w:val="20"/>
              </w:rPr>
              <w:t xml:space="preserve"> Por eso, intervenciones breves que acerquen el trabajo real a todos los estudiantes son más promisorias que una política basada en el historial de práctica.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2.3 Factores críticos</w:t>
      </w:r>
    </w:p>
    <w:p>
      <w:r>
        <w:rPr>
          <w:rFonts w:ascii="Calibri" w:hAnsi="Calibri" w:eastAsia="Calibri"/>
        </w:rPr>
        <w:t xml:space="preserve">Los factores críticos son los pocos puntos donde se concentra el riesgo o la oportunidad. Se priorizaron por </w:t>
      </w:r>
      <w:r>
        <w:rPr>
          <w:rFonts w:ascii="Calibri" w:hAnsi="Calibri" w:eastAsia="Calibri"/>
          <w:b/>
        </w:rPr>
        <w:t>magnitud de la brecha</w:t>
      </w:r>
      <w:r>
        <w:rPr>
          <w:rFonts w:ascii="Calibri" w:hAnsi="Calibri" w:eastAsia="Calibri"/>
        </w:rPr>
        <w:t xml:space="preserve">, </w:t>
      </w:r>
      <w:r>
        <w:rPr>
          <w:rFonts w:ascii="Calibri" w:hAnsi="Calibri" w:eastAsia="Calibri"/>
          <w:b/>
        </w:rPr>
        <w:t>consistencia entre ambos informes</w:t>
      </w:r>
      <w:r>
        <w:rPr>
          <w:rFonts w:ascii="Calibri" w:hAnsi="Calibri" w:eastAsia="Calibri"/>
        </w:rPr>
        <w:t xml:space="preserve"> y </w:t>
      </w:r>
      <w:r>
        <w:rPr>
          <w:rFonts w:ascii="Calibri" w:hAnsi="Calibri" w:eastAsia="Calibri"/>
          <w:b/>
        </w:rPr>
        <w:t>posibilidad real de intervenir</w:t>
      </w:r>
      <w:r>
        <w:rPr>
          <w:rFonts w:ascii="Calibri" w:hAnsi="Calibri" w:eastAsia="Calibri"/>
        </w:rPr>
        <w:t>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50"/>
        <w:gridCol w:w="2028"/>
        <w:gridCol w:w="2592"/>
        <w:gridCol w:w="2592"/>
        <w:gridCol w:w="1690"/>
      </w:tblGrid>
      <w:tr>
        <w:trPr>
          <w:tblHeader w:val="true"/>
        </w:trPr>
        <w:tc>
          <w:tcPr>
            <w:tcW w:type="dxa" w:w="45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02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Factor crítico</w:t>
            </w:r>
          </w:p>
        </w:tc>
        <w:tc>
          <w:tcPr>
            <w:tcW w:type="dxa" w:w="259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259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Riesgo si no se aborda</w:t>
            </w:r>
          </w:p>
        </w:tc>
        <w:tc>
          <w:tcPr>
            <w:tcW w:type="dxa" w:w="169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Consistencia</w:t>
            </w:r>
          </w:p>
        </w:tc>
      </w:tr>
      <w:tr>
        <w:trPr>
          <w:cantSplit/>
        </w:trPr>
        <w:tc>
          <w:tcPr>
            <w:tcW w:type="dxa" w:w="4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202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Ausencia de red de contactos</w:t>
            </w:r>
            <w:r>
              <w:rPr>
                <w:rFonts w:ascii="Calibri" w:hAnsi="Calibri" w:eastAsia="Calibri"/>
                <w:sz w:val="17"/>
              </w:rPr>
              <w:t xml:space="preserve"> (P12)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41 % de acuerdo; 30 % en desacuerdo; transversal a todos los perfiles.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Llegar a la práctica y al empleo sin referentes; dependencia de redes familiares.</w:t>
            </w:r>
          </w:p>
        </w:tc>
        <w:tc>
          <w:tcPr>
            <w:tcW w:type="dxa" w:w="16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 + B</w:t>
            </w:r>
          </w:p>
        </w:tc>
      </w:tr>
      <w:tr>
        <w:trPr>
          <w:cantSplit/>
        </w:trPr>
        <w:tc>
          <w:tcPr>
            <w:tcW w:type="dxa" w:w="4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202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Poco contacto con el trabajo real</w:t>
            </w:r>
            <w:r>
              <w:rPr>
                <w:rFonts w:ascii="Calibri" w:hAnsi="Calibri" w:eastAsia="Calibri"/>
                <w:sz w:val="17"/>
              </w:rPr>
              <w:t xml:space="preserve"> (P01, P02, P09)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62–69 % de acuerdo; se asocian con la seguridad de adaptarse.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Expectativas irreales; shock de transición.</w:t>
            </w:r>
          </w:p>
        </w:tc>
        <w:tc>
          <w:tcPr>
            <w:tcW w:type="dxa" w:w="169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 + B + voz estudiantil</w:t>
            </w:r>
          </w:p>
        </w:tc>
      </w:tr>
      <w:tr>
        <w:trPr>
          <w:cantSplit/>
        </w:trPr>
        <w:tc>
          <w:tcPr>
            <w:tcW w:type="dxa" w:w="4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202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Medición que no permite evaluar el programa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Código, momento, grupo y POST_EXP1 vacíos; A03/A04 no aplicados.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Imposibilidad de demostrar el impacto; decisiones sin evidencia.</w:t>
            </w:r>
          </w:p>
        </w:tc>
        <w:tc>
          <w:tcPr>
            <w:tcW w:type="dxa" w:w="16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 + B</w:t>
            </w:r>
          </w:p>
        </w:tc>
      </w:tr>
      <w:tr>
        <w:trPr>
          <w:cantSplit/>
        </w:trPr>
        <w:tc>
          <w:tcPr>
            <w:tcW w:type="dxa" w:w="4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202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21 % de estudiantes en rojo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38 estudiantes &lt; 3,50; 28 sin práctica previa y 10 con.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Mayor riesgo de mala experiencia de práctica y deserción.</w:t>
            </w:r>
          </w:p>
        </w:tc>
        <w:tc>
          <w:tcPr>
            <w:tcW w:type="dxa" w:w="169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 + B</w:t>
            </w:r>
          </w:p>
        </w:tc>
      </w:tr>
      <w:tr>
        <w:trPr>
          <w:cantSplit/>
        </w:trPr>
        <w:tc>
          <w:tcPr>
            <w:tcW w:type="dxa" w:w="4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5</w:t>
            </w:r>
          </w:p>
        </w:tc>
        <w:tc>
          <w:tcPr>
            <w:tcW w:type="dxa" w:w="202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Brecha en traducir lo técnico</w:t>
            </w:r>
            <w:r>
              <w:rPr>
                <w:rFonts w:ascii="Calibri" w:hAnsi="Calibri" w:eastAsia="Calibri"/>
                <w:sz w:val="17"/>
              </w:rPr>
              <w:t xml:space="preserve"> (P04, P06)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68 % y 66 %; 22 menciones sobre comunicación.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Dificultad para integrarse y ser comprendidos en la empresa.</w:t>
            </w:r>
          </w:p>
        </w:tc>
        <w:tc>
          <w:tcPr>
            <w:tcW w:type="dxa" w:w="16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 + voz estudiantil</w:t>
            </w:r>
          </w:p>
        </w:tc>
      </w:tr>
      <w:tr>
        <w:trPr>
          <w:cantSplit/>
        </w:trPr>
        <w:tc>
          <w:tcPr>
            <w:tcW w:type="dxa" w:w="4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202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Herramientas e inglés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20 y 19 menciones; ERP, Excel, Power BI, inglés.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Desfase con lo que usan las empresas.</w:t>
            </w:r>
          </w:p>
        </w:tc>
        <w:tc>
          <w:tcPr>
            <w:tcW w:type="dxa" w:w="169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Solo A (cualitativo)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2.4 Oportunidades de mejora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8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8_brech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2. Las ocho afirmaciones con mayor distancia a la meta de 70 %.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La demanda existe:</w:t>
      </w:r>
      <w:r>
        <w:rPr>
          <w:rFonts w:ascii="Calibri" w:hAnsi="Calibri" w:eastAsia="Calibri"/>
        </w:rPr>
        <w:t xml:space="preserve"> 83 % quiere proyectos con empresas; la institución no parte de cero ni debe convencer a los estudiantes.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Hay un mecanismo plausible a intervenir:</w:t>
      </w:r>
      <w:r>
        <w:rPr>
          <w:rFonts w:ascii="Calibri" w:hAnsi="Calibri" w:eastAsia="Calibri"/>
        </w:rPr>
        <w:t xml:space="preserve"> conocer tareas, exigencias y contrastar el trabajo con los intereses se asocia con la seguridad de adaptarse.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Las fortalezas de actitud</w:t>
      </w:r>
      <w:r>
        <w:rPr>
          <w:rFonts w:ascii="Calibri" w:hAnsi="Calibri" w:eastAsia="Calibri"/>
        </w:rPr>
        <w:t xml:space="preserve"> (diálogo, ética, confianza ante lo nuevo) permiten trabajar con estudiantes dispuestos a aprender.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Los estudiantes ya propusieron las soluciones:</w:t>
      </w:r>
      <w:r>
        <w:rPr>
          <w:rFonts w:ascii="Calibri" w:hAnsi="Calibri" w:eastAsia="Calibri"/>
        </w:rPr>
        <w:t xml:space="preserve"> simulaciones, salidas, herramientas reales, comunicación, inglés.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La corrección de medición es barata</w:t>
      </w:r>
      <w:r>
        <w:rPr>
          <w:rFonts w:ascii="Calibri" w:hAnsi="Calibri" w:eastAsia="Calibri"/>
        </w:rPr>
        <w:t xml:space="preserve"> y multiplica el valor de todo lo demás: con un código y un campo de grupo se podrá demostrar el impacto de La Puerta.</w:t>
      </w:r>
    </w:p>
    <w:p>
      <w:pPr>
        <w:pStyle w:val="Heading2"/>
        <w:pBdr>
          <w:left w:val="single" w:sz="28" w:space="8" w:color="FFB800"/>
        </w:pBdr>
      </w:pPr>
      <w:r>
        <w:t>2.5 Recomendaciones estratégicas priorizadas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516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3_prior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3. Matriz impacto–esfuerzo de las recomendaciones.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3043"/>
        <w:gridCol w:w="1859"/>
        <w:gridCol w:w="2141"/>
        <w:gridCol w:w="1014"/>
      </w:tblGrid>
      <w:tr>
        <w:trPr>
          <w:tblHeader w:val="true"/>
        </w:trPr>
        <w:tc>
          <w:tcPr>
            <w:tcW w:type="dxa" w:w="129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043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Recomendación</w:t>
            </w:r>
          </w:p>
        </w:tc>
        <w:tc>
          <w:tcPr>
            <w:tcW w:type="dxa" w:w="1860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14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Indicador de éxito</w:t>
            </w:r>
          </w:p>
        </w:tc>
        <w:tc>
          <w:tcPr>
            <w:tcW w:type="dxa" w:w="101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Plazo</w:t>
            </w:r>
          </w:p>
        </w:tc>
      </w:tr>
      <w:tr>
        <w:trPr>
          <w:cantSplit/>
        </w:trPr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1 · Hacer ya</w:t>
            </w:r>
            <w:r>
              <w:rPr>
                <w:rFonts w:ascii="Calibri" w:hAnsi="Calibri" w:eastAsia="Calibri"/>
                <w:sz w:val="16"/>
              </w:rPr>
              <w:br/>
              <w:t>R1</w:t>
            </w:r>
          </w:p>
        </w:tc>
        <w:tc>
          <w:tcPr>
            <w:tcW w:type="dxa" w:w="30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Rediseñar la medición:</w:t>
            </w:r>
            <w:r>
              <w:rPr>
                <w:rFonts w:ascii="Calibri" w:hAnsi="Calibri" w:eastAsia="Calibri"/>
                <w:sz w:val="16"/>
              </w:rPr>
              <w:t xml:space="preserve"> código único, momento, grupo y POST_EXP1 obligatorios; agregar A03 y A04; considerar evaluación de jefatura.</w:t>
            </w:r>
          </w:p>
        </w:tc>
        <w:tc>
          <w:tcPr>
            <w:tcW w:type="dxa" w:w="18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Poder evaluar el efecto de La Puerta.</w:t>
            </w:r>
          </w:p>
        </w:tc>
        <w:tc>
          <w:tcPr>
            <w:tcW w:type="dxa" w:w="21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100 % de registros con código, momento y grupo.</w:t>
            </w:r>
          </w:p>
        </w:tc>
        <w:tc>
          <w:tcPr>
            <w:tcW w:type="dxa" w:w="101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Próxima aplicación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2 · Hacer ya</w:t>
            </w:r>
            <w:r>
              <w:rPr>
                <w:rFonts w:ascii="Calibri" w:hAnsi="Calibri" w:eastAsia="Calibri"/>
                <w:sz w:val="16"/>
              </w:rPr>
              <w:br/>
              <w:t>R4</w:t>
            </w:r>
          </w:p>
        </w:tc>
        <w:tc>
          <w:tcPr>
            <w:tcW w:type="dxa" w:w="30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Focalizar por semáforo rojo</w:t>
            </w:r>
            <w:r>
              <w:rPr>
                <w:rFonts w:ascii="Calibri" w:hAnsi="Calibri" w:eastAsia="Calibri"/>
                <w:sz w:val="16"/>
              </w:rPr>
              <w:t xml:space="preserve"> (en vez de por «sin práctica previa»).</w:t>
            </w:r>
          </w:p>
        </w:tc>
        <w:tc>
          <w:tcPr>
            <w:tcW w:type="dxa" w:w="186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Acompañar a quienes más lo necesitan.</w:t>
            </w:r>
          </w:p>
        </w:tc>
        <w:tc>
          <w:tcPr>
            <w:tcW w:type="dxa" w:w="214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% de estudiantes en rojo que reciben apoyo antes de la práctica.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Antes de la práctica</w:t>
            </w:r>
          </w:p>
        </w:tc>
      </w:tr>
      <w:tr>
        <w:trPr>
          <w:cantSplit/>
        </w:trPr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3 · Estratégico</w:t>
            </w:r>
            <w:r>
              <w:rPr>
                <w:rFonts w:ascii="Calibri" w:hAnsi="Calibri" w:eastAsia="Calibri"/>
                <w:sz w:val="16"/>
              </w:rPr>
              <w:br/>
              <w:t>R2</w:t>
            </w:r>
          </w:p>
        </w:tc>
        <w:tc>
          <w:tcPr>
            <w:tcW w:type="dxa" w:w="30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Programa de redes</w:t>
            </w:r>
            <w:r>
              <w:rPr>
                <w:rFonts w:ascii="Calibri" w:hAnsi="Calibri" w:eastAsia="Calibri"/>
                <w:sz w:val="16"/>
              </w:rPr>
              <w:t xml:space="preserve"> (mentorías, ferias, charlas, visitas).</w:t>
            </w:r>
          </w:p>
        </w:tc>
        <w:tc>
          <w:tcPr>
            <w:tcW w:type="dxa" w:w="18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Aumentar la red de contactos.</w:t>
            </w:r>
          </w:p>
        </w:tc>
        <w:tc>
          <w:tcPr>
            <w:tcW w:type="dxa" w:w="21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P12 ≥ 60 % de acuerdo; ≥ 3 contactos por estudiante.</w:t>
            </w:r>
          </w:p>
        </w:tc>
        <w:tc>
          <w:tcPr>
            <w:tcW w:type="dxa" w:w="101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1–2 semestres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4 · Estratégico</w:t>
            </w:r>
            <w:r>
              <w:rPr>
                <w:rFonts w:ascii="Calibri" w:hAnsi="Calibri" w:eastAsia="Calibri"/>
                <w:sz w:val="16"/>
              </w:rPr>
              <w:br/>
              <w:t>R3</w:t>
            </w:r>
          </w:p>
        </w:tc>
        <w:tc>
          <w:tcPr>
            <w:tcW w:type="dxa" w:w="30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Microexperiencias de contacto real:</w:t>
            </w:r>
            <w:r>
              <w:rPr>
                <w:rFonts w:ascii="Calibri" w:hAnsi="Calibri" w:eastAsia="Calibri"/>
                <w:sz w:val="16"/>
              </w:rPr>
              <w:t xml:space="preserve"> simulaciones, visitas, proyectos cortos con empresas.</w:t>
            </w:r>
          </w:p>
        </w:tc>
        <w:tc>
          <w:tcPr>
            <w:tcW w:type="dxa" w:w="186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Conocer el trabajo real; mayor seguridad.</w:t>
            </w:r>
          </w:p>
        </w:tc>
        <w:tc>
          <w:tcPr>
            <w:tcW w:type="dxa" w:w="214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P01, P02, P09 ≥ 70 %; P10 ≥ 75 %.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1–2 semestres</w:t>
            </w:r>
          </w:p>
        </w:tc>
      </w:tr>
      <w:tr>
        <w:trPr>
          <w:cantSplit/>
        </w:trPr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5 · Ajuste</w:t>
            </w:r>
            <w:r>
              <w:rPr>
                <w:rFonts w:ascii="Calibri" w:hAnsi="Calibri" w:eastAsia="Calibri"/>
                <w:sz w:val="16"/>
              </w:rPr>
              <w:br/>
              <w:t>R5</w:t>
            </w:r>
          </w:p>
        </w:tc>
        <w:tc>
          <w:tcPr>
            <w:tcW w:type="dxa" w:w="30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Taller de comunicación</w:t>
            </w:r>
            <w:r>
              <w:rPr>
                <w:rFonts w:ascii="Calibri" w:hAnsi="Calibri" w:eastAsia="Calibri"/>
                <w:sz w:val="16"/>
              </w:rPr>
              <w:t xml:space="preserve"> y presentación profesional.</w:t>
            </w:r>
          </w:p>
        </w:tc>
        <w:tc>
          <w:tcPr>
            <w:tcW w:type="dxa" w:w="18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Explicar lo técnico con claridad.</w:t>
            </w:r>
          </w:p>
        </w:tc>
        <w:tc>
          <w:tcPr>
            <w:tcW w:type="dxa" w:w="21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P04 ≥ 75 %.</w:t>
            </w:r>
          </w:p>
        </w:tc>
        <w:tc>
          <w:tcPr>
            <w:tcW w:type="dxa" w:w="101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1 semestre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6 · Evaluar</w:t>
            </w:r>
            <w:r>
              <w:rPr>
                <w:rFonts w:ascii="Calibri" w:hAnsi="Calibri" w:eastAsia="Calibri"/>
                <w:sz w:val="16"/>
              </w:rPr>
              <w:br/>
              <w:t>R6</w:t>
            </w:r>
          </w:p>
        </w:tc>
        <w:tc>
          <w:tcPr>
            <w:tcW w:type="dxa" w:w="30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Inglés y herramientas</w:t>
            </w:r>
            <w:r>
              <w:rPr>
                <w:rFonts w:ascii="Calibri" w:hAnsi="Calibri" w:eastAsia="Calibri"/>
                <w:sz w:val="16"/>
              </w:rPr>
              <w:t xml:space="preserve"> (ERP, Excel, BI) donde corresponda.</w:t>
            </w:r>
          </w:p>
        </w:tc>
        <w:tc>
          <w:tcPr>
            <w:tcW w:type="dxa" w:w="186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Reducir el desfase con la empresa.</w:t>
            </w:r>
          </w:p>
        </w:tc>
        <w:tc>
          <w:tcPr>
            <w:tcW w:type="dxa" w:w="214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Menciones de este tema en el siguiente levantamiento &lt; 10.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2 semestres</w:t>
            </w:r>
          </w:p>
        </w:tc>
      </w:tr>
      <w:tr>
        <w:trPr>
          <w:cantSplit/>
        </w:trPr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7 · Evaluar</w:t>
            </w:r>
            <w:r>
              <w:rPr>
                <w:rFonts w:ascii="Calibri" w:hAnsi="Calibri" w:eastAsia="Calibri"/>
                <w:sz w:val="16"/>
              </w:rPr>
              <w:br/>
              <w:t>R7</w:t>
            </w:r>
          </w:p>
        </w:tc>
        <w:tc>
          <w:tcPr>
            <w:tcW w:type="dxa" w:w="304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Atender el tramo 3.º–4.º semestre.</w:t>
            </w:r>
          </w:p>
        </w:tc>
        <w:tc>
          <w:tcPr>
            <w:tcW w:type="dxa" w:w="18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Evitar el «valle» (si se confirma).</w:t>
            </w:r>
          </w:p>
        </w:tc>
        <w:tc>
          <w:tcPr>
            <w:tcW w:type="dxa" w:w="21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Brecha 3.º–4.º vs. otros &lt; 0,1.</w:t>
            </w:r>
          </w:p>
        </w:tc>
        <w:tc>
          <w:tcPr>
            <w:tcW w:type="dxa" w:w="101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1–2 semestres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8 · Ajuste</w:t>
            </w:r>
            <w:r>
              <w:rPr>
                <w:rFonts w:ascii="Calibri" w:hAnsi="Calibri" w:eastAsia="Calibri"/>
                <w:sz w:val="16"/>
              </w:rPr>
              <w:br/>
              <w:t>R8</w:t>
            </w:r>
          </w:p>
        </w:tc>
        <w:tc>
          <w:tcPr>
            <w:tcW w:type="dxa" w:w="3043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6"/>
              </w:rPr>
              <w:t>Validar las respuestas abiertas</w:t>
            </w:r>
            <w:r>
              <w:rPr>
                <w:rFonts w:ascii="Calibri" w:hAnsi="Calibri" w:eastAsia="Calibri"/>
                <w:sz w:val="16"/>
              </w:rPr>
              <w:t xml:space="preserve"> (doble codificación) y publicar el libro de códigos.</w:t>
            </w:r>
          </w:p>
        </w:tc>
        <w:tc>
          <w:tcPr>
            <w:tcW w:type="dxa" w:w="186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Rigor de la evidencia cualitativa.</w:t>
            </w:r>
          </w:p>
        </w:tc>
        <w:tc>
          <w:tcPr>
            <w:tcW w:type="dxa" w:w="214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Acuerdo entre codificadores ≥ 0,70 (kappa).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6"/>
              </w:rPr>
              <w:t>1 mes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 criterio para escalar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Antes de institucionalizar el modelo La Puerta en otras sedes, exigir la evidencia de un piloto con </w:t>
            </w:r>
            <w:r>
              <w:rPr>
                <w:rFonts w:ascii="Calibri" w:hAnsi="Calibri" w:eastAsia="Calibri"/>
                <w:b/>
                <w:sz w:val="20"/>
              </w:rPr>
              <w:t>grupo de comparación y medición antes/después</w:t>
            </w:r>
            <w:r>
              <w:rPr>
                <w:rFonts w:ascii="Calibri" w:hAnsi="Calibri" w:eastAsia="Calibri"/>
                <w:sz w:val="20"/>
              </w:rPr>
              <w:t xml:space="preserve">. El Informe Metodológico define como acción del Escenario 1 «institucionalizar el modelo»; con los datos actuales (Escenario 2 sin brecha de origen marcada) corresponde más bien </w:t>
            </w:r>
            <w:r>
              <w:rPr>
                <w:rFonts w:ascii="Calibri" w:hAnsi="Calibri" w:eastAsia="Calibri"/>
                <w:b/>
                <w:sz w:val="20"/>
              </w:rPr>
              <w:t>perfeccionar y evaluar</w:t>
            </w:r>
            <w:r>
              <w:rPr>
                <w:rFonts w:ascii="Calibri" w:hAnsi="Calibri" w:eastAsia="Calibri"/>
                <w:sz w:val="20"/>
              </w:rPr>
              <w:t>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3. CONCLUSIÓN</w:t>
      </w:r>
    </w:p>
    <w:p>
      <w:pPr>
        <w:pStyle w:val="Heading2"/>
        <w:pBdr>
          <w:left w:val="single" w:sz="28" w:space="8" w:color="FFB800"/>
        </w:pBdr>
      </w:pPr>
      <w:r>
        <w:t>3.1 Conclusiones generales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1.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preparación percibida es buena y se apoya en la actitud; lo que falta es el contacto con el mundo real.</w:t>
      </w:r>
      <w:r>
        <w:rPr>
          <w:rFonts w:ascii="Calibri" w:hAnsi="Calibri" w:eastAsia="Calibri"/>
        </w:rPr>
        <w:t xml:space="preserve"> El puntaje global (3,87) y las fortalezas en diálogo, ética y confianza son una buena plataforma.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2.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red de contactos es la prioridad estratégica nº 1 de contenido.</w:t>
      </w:r>
      <w:r>
        <w:rPr>
          <w:rFonts w:ascii="Calibri" w:hAnsi="Calibri" w:eastAsia="Calibri"/>
        </w:rPr>
        <w:t xml:space="preserve"> Es la brecha mayor, nítida y transversal.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3.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hipótesis central del proyecto se sostiene en dirección, no en magnitud.</w:t>
      </w:r>
      <w:r>
        <w:rPr>
          <w:rFonts w:ascii="Calibri" w:hAnsi="Calibri" w:eastAsia="Calibri"/>
        </w:rPr>
        <w:t xml:space="preserve"> La práctica previa se asocia con mejores percepciones, pero no es el gran divisor que se proyectaba; lo que importa es lo que se vive y aprende en el contacto con el trabajo.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4.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Los estudiantes piden lo que los datos sugieren:</w:t>
      </w:r>
      <w:r>
        <w:rPr>
          <w:rFonts w:ascii="Calibri" w:hAnsi="Calibri" w:eastAsia="Calibri"/>
        </w:rPr>
        <w:t xml:space="preserve"> más práctica real, simulación, terreno, herramientas, comunicación e inglés.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5.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evaluación del programa es la deuda metodológica de mayor valor.</w:t>
      </w:r>
      <w:r>
        <w:rPr>
          <w:rFonts w:ascii="Calibri" w:hAnsi="Calibri" w:eastAsia="Calibri"/>
        </w:rPr>
        <w:t xml:space="preserve"> Corregir la medición permitirá, en la próxima aplicación, responder la pregunta de fondo.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6.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Cuidado con tres tentaciones:</w:t>
      </w:r>
      <w:r>
        <w:rPr>
          <w:rFonts w:ascii="Calibri" w:hAnsi="Calibri" w:eastAsia="Calibri"/>
        </w:rPr>
        <w:t xml:space="preserve"> (a) segregar por «tiene o no práctica previa»; (b) tomar como hecho el «valle» de 3.º–4.º; (c) afirmar que La Puerta funciona con datos de una sola medición.</w:t>
      </w:r>
    </w:p>
    <w:p>
      <w:pPr>
        <w:pStyle w:val="Heading1"/>
        <w:pageBreakBefore/>
        <w:pBdr>
          <w:left w:val="single" w:sz="36" w:space="8" w:color="FFB800"/>
        </w:pBdr>
      </w:pPr>
      <w:r>
        <w:t>4. REFERENCIAS</w:t>
      </w:r>
    </w:p>
    <w:p>
      <w:r>
        <w:rPr>
          <w:rFonts w:ascii="Calibri" w:hAnsi="Calibri" w:eastAsia="Calibri"/>
          <w:color w:val="666666"/>
          <w:sz w:val="20"/>
        </w:rPr>
        <w:t xml:space="preserve">Referencias en formato APA 7, ordenadas alfabéticamente. Las dos últimas son documentos internos del proyecto. Las referencias académicas fueron seleccionadas por la herramienta de IA a partir de su conocimiento de la literatura y </w:t>
      </w:r>
      <w:r>
        <w:rPr>
          <w:rFonts w:ascii="Calibri" w:hAnsi="Calibri" w:eastAsia="Calibri"/>
          <w:b/>
          <w:color w:val="666666"/>
          <w:sz w:val="20"/>
        </w:rPr>
        <w:t>no se verificaron en línea durante esta sesión</w:t>
      </w:r>
      <w:r>
        <w:rPr>
          <w:rFonts w:ascii="Calibri" w:hAnsi="Calibri" w:eastAsia="Calibri"/>
          <w:color w:val="666666"/>
          <w:sz w:val="20"/>
        </w:rPr>
        <w:t>: conviene confirmar volumen, páginas y DOI antes de una publicación formal.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Bandura, A. (1997). </w:t>
      </w:r>
      <w:r>
        <w:rPr>
          <w:rFonts w:ascii="Calibri" w:hAnsi="Calibri"/>
          <w:i/>
          <w:sz w:val="21"/>
        </w:rPr>
        <w:t>Self-efficacy: The exercise of control</w:t>
      </w:r>
      <w:r>
        <w:rPr>
          <w:rFonts w:ascii="Calibri" w:hAnsi="Calibri"/>
          <w:i w:val="0"/>
          <w:sz w:val="21"/>
        </w:rPr>
        <w:t>. W. H. Freeman.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Braun, V., &amp; Clarke, V. (2006). Using thematic analysis in psychology. </w:t>
      </w:r>
      <w:r>
        <w:rPr>
          <w:rFonts w:ascii="Calibri" w:hAnsi="Calibri"/>
          <w:i/>
          <w:sz w:val="21"/>
        </w:rPr>
        <w:t>Qualitative Research in Psychology, 3</w:t>
      </w:r>
      <w:r>
        <w:rPr>
          <w:rFonts w:ascii="Calibri" w:hAnsi="Calibri"/>
          <w:i w:val="0"/>
          <w:sz w:val="21"/>
        </w:rPr>
        <w:t>(2), 77–101.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Campbell, D. T., &amp; Stanley, J. C. (1963). </w:t>
      </w:r>
      <w:r>
        <w:rPr>
          <w:rFonts w:ascii="Calibri" w:hAnsi="Calibri"/>
          <w:i/>
          <w:sz w:val="21"/>
        </w:rPr>
        <w:t>Experimental and quasi-experimental designs for research</w:t>
      </w:r>
      <w:r>
        <w:rPr>
          <w:rFonts w:ascii="Calibri" w:hAnsi="Calibri"/>
          <w:i w:val="0"/>
          <w:sz w:val="21"/>
        </w:rPr>
        <w:t>. Rand McNally.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Cliff, N. (1993). Dominance statistics: Ordinal analyses to answer ordinal questions. </w:t>
      </w:r>
      <w:r>
        <w:rPr>
          <w:rFonts w:ascii="Calibri" w:hAnsi="Calibri"/>
          <w:i/>
          <w:sz w:val="21"/>
        </w:rPr>
        <w:t>Psychological Bulletin, 114</w:t>
      </w:r>
      <w:r>
        <w:rPr>
          <w:rFonts w:ascii="Calibri" w:hAnsi="Calibri"/>
          <w:i w:val="0"/>
          <w:sz w:val="21"/>
        </w:rPr>
        <w:t>(3), 494–509.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Cohen, J. (1988). </w:t>
      </w:r>
      <w:r>
        <w:rPr>
          <w:rFonts w:ascii="Calibri" w:hAnsi="Calibri"/>
          <w:i/>
          <w:sz w:val="21"/>
        </w:rPr>
        <w:t>Statistical power analysis for the behavioral sciences</w:t>
      </w:r>
      <w:r>
        <w:rPr>
          <w:rFonts w:ascii="Calibri" w:hAnsi="Calibri"/>
          <w:i w:val="0"/>
          <w:sz w:val="21"/>
        </w:rPr>
        <w:t xml:space="preserve"> (2.ª ed.). Lawrence Erlbaum.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Cronbach, L. J. (1951). Coefficient alpha and the internal structure of tests. </w:t>
      </w:r>
      <w:r>
        <w:rPr>
          <w:rFonts w:ascii="Calibri" w:hAnsi="Calibri"/>
          <w:i/>
          <w:sz w:val="21"/>
        </w:rPr>
        <w:t>Psychometrika, 16</w:t>
      </w:r>
      <w:r>
        <w:rPr>
          <w:rFonts w:ascii="Calibri" w:hAnsi="Calibri"/>
          <w:i w:val="0"/>
          <w:sz w:val="21"/>
        </w:rPr>
        <w:t>(3), 297–334.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Dweck, C. S. (2006). </w:t>
      </w:r>
      <w:r>
        <w:rPr>
          <w:rFonts w:ascii="Calibri" w:hAnsi="Calibri"/>
          <w:i/>
          <w:sz w:val="21"/>
        </w:rPr>
        <w:t>Mindset: The new psychology of success</w:t>
      </w:r>
      <w:r>
        <w:rPr>
          <w:rFonts w:ascii="Calibri" w:hAnsi="Calibri"/>
          <w:i w:val="0"/>
          <w:sz w:val="21"/>
        </w:rPr>
        <w:t>. Random House.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Granovetter, M. S. (1973). The strength of weak ties. </w:t>
      </w:r>
      <w:r>
        <w:rPr>
          <w:rFonts w:ascii="Calibri" w:hAnsi="Calibri"/>
          <w:i/>
          <w:sz w:val="21"/>
        </w:rPr>
        <w:t>American Journal of Sociology, 78</w:t>
      </w:r>
      <w:r>
        <w:rPr>
          <w:rFonts w:ascii="Calibri" w:hAnsi="Calibri"/>
          <w:i w:val="0"/>
          <w:sz w:val="21"/>
        </w:rPr>
        <w:t>(6), 1360–1380.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Holm, S. (1979). A simple sequentially rejective multiple test procedure. </w:t>
      </w:r>
      <w:r>
        <w:rPr>
          <w:rFonts w:ascii="Calibri" w:hAnsi="Calibri"/>
          <w:i/>
          <w:sz w:val="21"/>
        </w:rPr>
        <w:t>Scandinavian Journal of Statistics, 6</w:t>
      </w:r>
      <w:r>
        <w:rPr>
          <w:rFonts w:ascii="Calibri" w:hAnsi="Calibri"/>
          <w:i w:val="0"/>
          <w:sz w:val="21"/>
        </w:rPr>
        <w:t>(2), 65–70.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Kolb, D. A. (1984). </w:t>
      </w:r>
      <w:r>
        <w:rPr>
          <w:rFonts w:ascii="Calibri" w:hAnsi="Calibri"/>
          <w:i/>
          <w:sz w:val="21"/>
        </w:rPr>
        <w:t>Experiential learning: Experience as the source of learning and development</w:t>
      </w:r>
      <w:r>
        <w:rPr>
          <w:rFonts w:ascii="Calibri" w:hAnsi="Calibri"/>
          <w:i w:val="0"/>
          <w:sz w:val="21"/>
        </w:rPr>
        <w:t>. Prentice-Hall.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Kruskal, W. H., &amp; Wallis, W. A. (1952). Use of ranks in one-criterion variance analysis. </w:t>
      </w:r>
      <w:r>
        <w:rPr>
          <w:rFonts w:ascii="Calibri" w:hAnsi="Calibri"/>
          <w:i/>
          <w:sz w:val="21"/>
        </w:rPr>
        <w:t>Journal of the American Statistical Association, 47</w:t>
      </w:r>
      <w:r>
        <w:rPr>
          <w:rFonts w:ascii="Calibri" w:hAnsi="Calibri"/>
          <w:i w:val="0"/>
          <w:sz w:val="21"/>
        </w:rPr>
        <w:t>(260), 583–621.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Lent, R. W., Brown, S. D., &amp; Hackett, G. (1994). Toward a unifying social cognitive theory of career and academic interest, choice, and performance. </w:t>
      </w:r>
      <w:r>
        <w:rPr>
          <w:rFonts w:ascii="Calibri" w:hAnsi="Calibri"/>
          <w:i/>
          <w:sz w:val="21"/>
        </w:rPr>
        <w:t>Journal of Vocational Behavior, 45</w:t>
      </w:r>
      <w:r>
        <w:rPr>
          <w:rFonts w:ascii="Calibri" w:hAnsi="Calibri"/>
          <w:i w:val="0"/>
          <w:sz w:val="21"/>
        </w:rPr>
        <w:t>(1), 79–122.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Mann, H. B., &amp; Whitney, D. R. (1947). On a test of whether one of two random variables is stochastically larger than the other. </w:t>
      </w:r>
      <w:r>
        <w:rPr>
          <w:rFonts w:ascii="Calibri" w:hAnsi="Calibri"/>
          <w:i/>
          <w:sz w:val="21"/>
        </w:rPr>
        <w:t>Annals of Mathematical Statistics, 18</w:t>
      </w:r>
      <w:r>
        <w:rPr>
          <w:rFonts w:ascii="Calibri" w:hAnsi="Calibri"/>
          <w:i w:val="0"/>
          <w:sz w:val="21"/>
        </w:rPr>
        <w:t>(1), 50–60.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Norman, G. (2010). Likert scales, levels of measurement and the “laws” of statistics. </w:t>
      </w:r>
      <w:r>
        <w:rPr>
          <w:rFonts w:ascii="Calibri" w:hAnsi="Calibri"/>
          <w:i/>
          <w:sz w:val="21"/>
        </w:rPr>
        <w:t>Advances in Health Sciences Education, 15</w:t>
      </w:r>
      <w:r>
        <w:rPr>
          <w:rFonts w:ascii="Calibri" w:hAnsi="Calibri"/>
          <w:i w:val="0"/>
          <w:sz w:val="21"/>
        </w:rPr>
        <w:t>(5), 625–632.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Podsakoff, P. M., MacKenzie, S. B., Lee, J.-Y., &amp; Podsakoff, N. P. (2003). Common method biases in behavioral research. </w:t>
      </w:r>
      <w:r>
        <w:rPr>
          <w:rFonts w:ascii="Calibri" w:hAnsi="Calibri"/>
          <w:i/>
          <w:sz w:val="21"/>
        </w:rPr>
        <w:t>Journal of Applied Psychology, 88</w:t>
      </w:r>
      <w:r>
        <w:rPr>
          <w:rFonts w:ascii="Calibri" w:hAnsi="Calibri"/>
          <w:i w:val="0"/>
          <w:sz w:val="21"/>
        </w:rPr>
        <w:t>(5), 879–903.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Sullivan, G. M., &amp; Artino, A. R. (2013). Analyzing and interpreting data from Likert-type scales. </w:t>
      </w:r>
      <w:r>
        <w:rPr>
          <w:rFonts w:ascii="Calibri" w:hAnsi="Calibri"/>
          <w:i/>
          <w:sz w:val="21"/>
        </w:rPr>
        <w:t>Journal of Graduate Medical Education, 5</w:t>
      </w:r>
      <w:r>
        <w:rPr>
          <w:rFonts w:ascii="Calibri" w:hAnsi="Calibri"/>
          <w:i w:val="0"/>
          <w:sz w:val="21"/>
        </w:rPr>
        <w:t>(4), 541–542.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Tomlinson, M. (2017). Forms of graduate capital and their relationship to graduate employability. </w:t>
      </w:r>
      <w:r>
        <w:rPr>
          <w:rFonts w:ascii="Calibri" w:hAnsi="Calibri"/>
          <w:i/>
          <w:sz w:val="21"/>
        </w:rPr>
        <w:t>Education + Training, 59</w:t>
      </w:r>
      <w:r>
        <w:rPr>
          <w:rFonts w:ascii="Calibri" w:hAnsi="Calibri"/>
          <w:i w:val="0"/>
          <w:sz w:val="21"/>
        </w:rPr>
        <w:t>(4), 338–352.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Vargha, A., &amp; Delaney, H. D. (2000). A critique and improvement of the CL common language effect size statistics of McGraw and Wong. </w:t>
      </w:r>
      <w:r>
        <w:rPr>
          <w:rFonts w:ascii="Calibri" w:hAnsi="Calibri"/>
          <w:i/>
          <w:sz w:val="21"/>
        </w:rPr>
        <w:t>Journal of Educational and Behavioral Statistics, 25</w:t>
      </w:r>
      <w:r>
        <w:rPr>
          <w:rFonts w:ascii="Calibri" w:hAnsi="Calibri"/>
          <w:i w:val="0"/>
          <w:sz w:val="21"/>
        </w:rPr>
        <w:t>(2), 101–132.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Yorke, M. (2006). </w:t>
      </w:r>
      <w:r>
        <w:rPr>
          <w:rFonts w:ascii="Calibri" w:hAnsi="Calibri"/>
          <w:i/>
          <w:sz w:val="21"/>
        </w:rPr>
        <w:t>Employability in higher education: What it is – what it is not</w:t>
      </w:r>
      <w:r>
        <w:rPr>
          <w:rFonts w:ascii="Calibri" w:hAnsi="Calibri"/>
          <w:i w:val="0"/>
          <w:sz w:val="21"/>
        </w:rPr>
        <w:t>. Higher Education Academy.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UC, Escuela de Administración y Negocios, Sede San Bernardo (2026). </w:t>
      </w:r>
      <w:r>
        <w:rPr>
          <w:rFonts w:ascii="Calibri" w:hAnsi="Calibri"/>
          <w:i/>
          <w:sz w:val="21"/>
        </w:rPr>
        <w:t>Proyecto La Puerta: Informe metodológico y análisis prospectivo de brechas en habilidades blandas para la práctica profesional</w:t>
      </w:r>
      <w:r>
        <w:rPr>
          <w:rFonts w:ascii="Calibri" w:hAnsi="Calibri"/>
          <w:i w:val="0"/>
          <w:sz w:val="21"/>
        </w:rPr>
        <w:t xml:space="preserve"> [documento interno].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 (2026). </w:t>
      </w:r>
      <w:r>
        <w:rPr>
          <w:rFonts w:ascii="Calibri" w:hAnsi="Calibri"/>
          <w:i/>
          <w:sz w:val="21"/>
        </w:rPr>
        <w:t>Proyecto La Puerta: Base de datos y matriz de análisis (20261009_1658)</w:t>
      </w:r>
      <w:r>
        <w:rPr>
          <w:rFonts w:ascii="Calibri" w:hAnsi="Calibri"/>
          <w:i w:val="0"/>
          <w:sz w:val="21"/>
        </w:rPr>
        <w:t xml:space="preserve"> [base de datos interna, no publicada].</w:t>
      </w:r>
    </w:p>
    <w:p>
      <w:pPr>
        <w:pStyle w:val="Heading1"/>
        <w:pageBreakBefore/>
        <w:pBdr>
          <w:left w:val="single" w:sz="36" w:space="8" w:color="FFB800"/>
        </w:pBdr>
      </w:pPr>
      <w:r>
        <w:t>5. ANEXOS</w:t>
      </w:r>
    </w:p>
    <w:p>
      <w:pPr>
        <w:pStyle w:val="Heading2"/>
        <w:pBdr>
          <w:left w:val="single" w:sz="28" w:space="8" w:color="FFB800"/>
        </w:pBdr>
      </w:pPr>
      <w:r>
        <w:t>5.1 Trazabilidad de las cifras clave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606"/>
        <w:gridCol w:w="2592"/>
        <w:gridCol w:w="3156"/>
      </w:tblGrid>
      <w:tr>
        <w:trPr>
          <w:tblHeader w:val="true"/>
        </w:trPr>
        <w:tc>
          <w:tcPr>
            <w:tcW w:type="dxa" w:w="360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Cifra clave</w:t>
            </w:r>
          </w:p>
        </w:tc>
        <w:tc>
          <w:tcPr>
            <w:tcW w:type="dxa" w:w="259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5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Dónde se calculó</w:t>
            </w:r>
          </w:p>
        </w:tc>
      </w:tr>
      <w:tr>
        <w:trPr>
          <w:cantSplit/>
        </w:trPr>
        <w:tc>
          <w:tcPr>
            <w:tcW w:type="dxa" w:w="360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Puntaje global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3,87 [3,77; 3,96]</w:t>
            </w:r>
          </w:p>
        </w:tc>
        <w:tc>
          <w:tcPr>
            <w:tcW w:type="dxa" w:w="315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Informe A, 5.1</w:t>
            </w:r>
          </w:p>
        </w:tc>
      </w:tr>
      <w:tr>
        <w:trPr>
          <w:cantSplit/>
        </w:trPr>
        <w:tc>
          <w:tcPr>
            <w:tcW w:type="dxa" w:w="360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P12 de acuerdo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41 %</w:t>
            </w:r>
          </w:p>
        </w:tc>
        <w:tc>
          <w:tcPr>
            <w:tcW w:type="dxa" w:w="315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Informe A, 5.2 · Informe B, 4.3</w:t>
            </w:r>
          </w:p>
        </w:tc>
      </w:tr>
      <w:tr>
        <w:trPr>
          <w:cantSplit/>
        </w:trPr>
        <w:tc>
          <w:tcPr>
            <w:tcW w:type="dxa" w:w="360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Brecha con–sin práctica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+0,17 [-0,02; 0,36]</w:t>
            </w:r>
          </w:p>
        </w:tc>
        <w:tc>
          <w:tcPr>
            <w:tcW w:type="dxa" w:w="315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Informe B, 4.1</w:t>
            </w:r>
          </w:p>
        </w:tc>
      </w:tr>
      <w:tr>
        <w:trPr>
          <w:cantSplit/>
        </w:trPr>
        <w:tc>
          <w:tcPr>
            <w:tcW w:type="dxa" w:w="360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Correlación práctica–índice global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 = 0,12</w:t>
            </w:r>
          </w:p>
        </w:tc>
        <w:tc>
          <w:tcPr>
            <w:tcW w:type="dxa" w:w="315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Informe B, 4.1</w:t>
            </w:r>
          </w:p>
        </w:tc>
      </w:tr>
      <w:tr>
        <w:trPr>
          <w:cantSplit/>
        </w:trPr>
        <w:tc>
          <w:tcPr>
            <w:tcW w:type="dxa" w:w="360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Estudiantes en rojo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38 (21 %)</w:t>
            </w:r>
          </w:p>
        </w:tc>
        <w:tc>
          <w:tcPr>
            <w:tcW w:type="dxa" w:w="315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Informe A, 5.6</w:t>
            </w:r>
          </w:p>
        </w:tc>
      </w:tr>
      <w:tr>
        <w:trPr>
          <w:cantSplit/>
        </w:trPr>
        <w:tc>
          <w:tcPr>
            <w:tcW w:type="dxa" w:w="360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R² del modelo de seguridad de adaptarse</w:t>
            </w:r>
          </w:p>
        </w:tc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49 %</w:t>
            </w:r>
          </w:p>
        </w:tc>
        <w:tc>
          <w:tcPr>
            <w:tcW w:type="dxa" w:w="315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Informe B, 4.4</w:t>
            </w:r>
          </w:p>
        </w:tc>
      </w:tr>
      <w:tr>
        <w:trPr>
          <w:cantSplit/>
        </w:trPr>
        <w:tc>
          <w:tcPr>
            <w:tcW w:type="dxa" w:w="360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Diferencia mínima detectable (80 % poder)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0,28 puntos</w:t>
            </w:r>
          </w:p>
        </w:tc>
        <w:tc>
          <w:tcPr>
            <w:tcW w:type="dxa" w:w="315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Informe B, 3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  <w:sz w:val="19"/>
        </w:rPr>
        <w:t>Todos los números se generan con `src/analisis.py` y quedan en `src/resultados.json`; los gráficos con `src/graficos.py`. Si la base cambia, basta volver a ejecutar ambos scripts.</w:t>
      </w:r>
    </w:p>
    <w:p>
      <w:pPr>
        <w:pStyle w:val="Heading3"/>
      </w:pPr>
      <w:r>
        <w:t>Declaración sobre el uso de Inteligencia Artificial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Este documento se elaboró con apoyo de Inteligencia Artificial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Se utilizó </w:t>
            </w:r>
            <w:r>
              <w:rPr>
                <w:rFonts w:ascii="Calibri" w:hAnsi="Calibri" w:eastAsia="Calibri"/>
                <w:b/>
                <w:sz w:val="20"/>
              </w:rPr>
              <w:t>Claude (Anthropic), modelo de IA generativa</w:t>
            </w:r>
            <w:r>
              <w:rPr>
                <w:rFonts w:ascii="Calibri" w:hAnsi="Calibri" w:eastAsia="Calibri"/>
                <w:sz w:val="20"/>
              </w:rPr>
              <w:t>, como herramienta de apoyo para: (1) limpiar y calcular los resultados de la base de datos con código reproducible; (2) integrar los resultados de ambos enfoques, comparar sus conclusiones y proponer una priorización de recomendaciones; (3) redactar, organizar y diseñar los gráficos y diagramas; y (4) clasificar preliminarmente las respuestas abiertas por temas.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La IA no reemplaza el juicio experto.</w:t>
            </w:r>
            <w:r>
              <w:rPr>
                <w:rFonts w:ascii="Calibri" w:hAnsi="Calibri" w:eastAsia="Calibri"/>
                <w:sz w:val="20"/>
              </w:rPr>
              <w:t xml:space="preserve"> La codificación temática automática es preliminar y debe ser validada por una persona (idealmente con doble codificación). Las interpretaciones, decisiones y recomendaciones deben ser revisadas y asumidas por el equipo responsable del Proyecto La Puerta antes de su difusión institucional.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No se incluyeron nombres, correos ni códigos de estudiantes. Las citas textuales son anónimas.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rPr>
        <w:rFonts w:ascii="Calibri" w:hAnsi="Calibri" w:eastAsia="Calibri"/>
        <w:color w:val="666666"/>
        <w:sz w:val="18"/>
      </w:rPr>
      <w:t xml:space="preserve">Duoc UC · Proyecto La Puerta · Página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 w:eastAsia="Calibri"/>
        <w:color w:val="666666"/>
        <w:sz w:val="18"/>
      </w:rPr>
      <w:t>Proyecto La Puerta · Informe C · Consolidado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40" w:line="276" w:lineRule="auto"/>
      <w:jc w:val="left"/>
      <w:outlineLvl w:val="0"/>
    </w:pPr>
    <w:rPr>
      <w:rFonts w:ascii="Calibri" w:hAnsi="Calibri" w:eastAsia="Calibri" w:cs="Calibri"/>
      <w:b/>
      <w:bCs/>
      <w:i w:val="0"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40" w:line="276" w:lineRule="auto"/>
      <w:jc w:val="left"/>
      <w:outlineLvl w:val="1"/>
    </w:pPr>
    <w:rPr>
      <w:rFonts w:ascii="Calibri" w:hAnsi="Calibri" w:eastAsia="Calibri" w:cs="Calibri"/>
      <w:b/>
      <w:bCs/>
      <w:i w:val="0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40" w:line="276" w:lineRule="auto"/>
      <w:jc w:val="left"/>
      <w:outlineLvl w:val="2"/>
    </w:pPr>
    <w:rPr>
      <w:rFonts w:ascii="Calibri" w:hAnsi="Calibri" w:eastAsia="Calibri" w:cs="Calibri"/>
      <w:b/>
      <w:bCs/>
      <w:i w:val="0"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240" w:line="276" w:lineRule="auto"/>
      <w:jc w:val="left"/>
      <w:outlineLvl w:val="3"/>
    </w:pPr>
    <w:rPr>
      <w:rFonts w:ascii="Calibri" w:hAnsi="Calibri" w:eastAsia="Calibri" w:cs="Calibri"/>
      <w:b/>
      <w:bCs/>
      <w:i w:val="0"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