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1814" w:hRule="exact"/>
        </w:trPr>
        <w:tc>
          <w:tcPr>
            <w:tcW w:type="dxa" w:w="9354"/>
          </w:tcPr>
          <w:p>
            <w:pPr>
              <w:spacing w:after="0"/>
            </w:pPr>
          </w:p>
          <w:tbl>
            <w:tblPr>
              <w:tblW w:type="dxa" w:w="2948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48"/>
            </w:tblGrid>
            <w:tr>
              <w:tc>
                <w:tcPr>
                  <w:tcW w:type="dxa" w:w="2948"/>
                  <w:tcBorders>
                    <w:top w:val="single" w:sz="6" w:color="999999"/>
                    <w:left w:val="single" w:sz="6" w:color="999999"/>
                    <w:bottom w:val="single" w:sz="6" w:color="999999"/>
                    <w:right w:val="single" w:sz="6" w:color="999999"/>
                  </w:tcBorders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Calibri" w:hAnsi="Calibri" w:eastAsia="Calibri"/>
                      <w:color w:val="666666"/>
                      <w:sz w:val="18"/>
                    </w:rPr>
                    <w:t>[Insertar logo Duoc UC]</w:t>
                  </w:r>
                </w:p>
              </w:tc>
            </w:tr>
          </w:tbl>
          <w:p/>
        </w:tc>
      </w:tr>
      <w:tr>
        <w:trPr>
          <w:trHeight w:val="6010" w:hRule="exact"/>
        </w:trPr>
        <w:tc>
          <w:tcPr>
            <w:tcW w:type="dxa" w:w="9354"/>
            <w:vAlign w:val="center"/>
          </w:tcPr>
          <w:p>
            <w:pPr>
              <w:pBdr>
                <w:bottom w:val="single" w:sz="24" w:space="10" w:color="FFB800"/>
              </w:pBdr>
              <w:spacing w:after="200" w:line="276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8"/>
              </w:rPr>
              <w:t>PROYECTO LA PUERTA: MANUAL EXPLICATIVO DE RESULTADOS</w:t>
            </w:r>
          </w:p>
          <w:p>
            <w:pPr>
              <w:spacing w:before="200" w:line="276" w:lineRule="auto"/>
              <w:jc w:val="center"/>
            </w:pPr>
            <w:r>
              <w:rPr>
                <w:rFonts w:ascii="Calibri" w:hAnsi="Calibri" w:eastAsia="Calibri"/>
                <w:color w:val="666666"/>
                <w:sz w:val="24"/>
              </w:rPr>
              <w:t>Qué significan los números de la encuesta, en palabras simples y con ejemplos de todos los días</w:t>
            </w:r>
          </w:p>
        </w:tc>
      </w:tr>
      <w:tr>
        <w:trPr>
          <w:trHeight w:val="4876" w:hRule="exact"/>
        </w:trPr>
        <w:tc>
          <w:tcPr>
            <w:tcW w:type="dxa" w:w="9354"/>
            <w:vAlign w:val="bottom"/>
          </w:tcPr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Autor y docente responsable: Juan Antonio Carrasco Navarrete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Escuela de Administración y Negocios · Sede San Bernardo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Proyecto La Puerta · Producto F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Octubre de 2026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Elaborado con apoyo de herramientas de Inteligencia Artificial (véase Anexos)</w:t>
            </w:r>
          </w:p>
        </w:tc>
      </w:tr>
    </w:tbl>
    <w:p>
      <w:pPr>
        <w:pStyle w:val="Heading1"/>
        <w:pageBreakBefore/>
        <w:pBdr>
          <w:left w:val="single" w:sz="36" w:space="8" w:color="FFB800"/>
        </w:pBdr>
      </w:pPr>
      <w:r>
        <w:t>Índice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1. INTRODUCCIÓN</w:t>
      </w:r>
      <w:r>
        <w:rPr>
          <w:rFonts w:ascii="Calibri" w:hAnsi="Calibri" w:eastAsia="Calibri"/>
          <w:b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1.1 Tema, contexto y objetivos</w:t>
      </w:r>
      <w:r>
        <w:rPr>
          <w:rFonts w:ascii="Calibri" w:hAnsi="Calibri" w:eastAsia="Calibri"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1.2 Cómo usar este manual</w:t>
      </w:r>
      <w:r>
        <w:rPr>
          <w:rFonts w:ascii="Calibri" w:hAnsi="Calibri" w:eastAsia="Calibri"/>
          <w:color w:val="1A1A1A"/>
          <w:sz w:val="22"/>
        </w:rPr>
        <w:tab/>
        <w:t>4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2. DESARROLLO</w:t>
      </w:r>
      <w:r>
        <w:rPr>
          <w:rFonts w:ascii="Calibri" w:hAnsi="Calibri" w:eastAsia="Calibri"/>
          <w:b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2.1 Siete ideas para leer números sin enredarse</w:t>
      </w:r>
      <w:r>
        <w:rPr>
          <w:rFonts w:ascii="Calibri" w:hAnsi="Calibri" w:eastAsia="Calibri"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2.2 Los resultados, uno por uno (fichas)</w:t>
      </w:r>
      <w:r>
        <w:rPr>
          <w:rFonts w:ascii="Calibri" w:hAnsi="Calibri" w:eastAsia="Calibri"/>
          <w:color w:val="1A1A1A"/>
          <w:sz w:val="22"/>
        </w:rPr>
        <w:tab/>
        <w:t>6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2.3 Qué significa esto para cada persona</w:t>
      </w:r>
      <w:r>
        <w:rPr>
          <w:rFonts w:ascii="Calibri" w:hAnsi="Calibri" w:eastAsia="Calibri"/>
          <w:color w:val="1A1A1A"/>
          <w:sz w:val="22"/>
        </w:rPr>
        <w:tab/>
        <w:t>15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2.4 Preguntas frecuentes</w:t>
      </w:r>
      <w:r>
        <w:rPr>
          <w:rFonts w:ascii="Calibri" w:hAnsi="Calibri" w:eastAsia="Calibri"/>
          <w:color w:val="1A1A1A"/>
          <w:sz w:val="22"/>
        </w:rPr>
        <w:tab/>
        <w:t>16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2.5 Glosario</w:t>
      </w:r>
      <w:r>
        <w:rPr>
          <w:rFonts w:ascii="Calibri" w:hAnsi="Calibri" w:eastAsia="Calibri"/>
          <w:color w:val="1A1A1A"/>
          <w:sz w:val="22"/>
        </w:rPr>
        <w:tab/>
        <w:t>17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3. CONCLUSIÓN</w:t>
      </w:r>
      <w:r>
        <w:rPr>
          <w:rFonts w:ascii="Calibri" w:hAnsi="Calibri" w:eastAsia="Calibri"/>
          <w:b/>
          <w:color w:val="1A1A1A"/>
          <w:sz w:val="22"/>
        </w:rPr>
        <w:tab/>
        <w:t>19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3.1 Antes de citar un resultado: lista de verificación</w:t>
      </w:r>
      <w:r>
        <w:rPr>
          <w:rFonts w:ascii="Calibri" w:hAnsi="Calibri" w:eastAsia="Calibri"/>
          <w:color w:val="1A1A1A"/>
          <w:sz w:val="22"/>
        </w:rPr>
        <w:tab/>
        <w:t>19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4. REFERENCIAS</w:t>
      </w:r>
      <w:r>
        <w:rPr>
          <w:rFonts w:ascii="Calibri" w:hAnsi="Calibri" w:eastAsia="Calibri"/>
          <w:b/>
          <w:color w:val="1A1A1A"/>
          <w:sz w:val="22"/>
        </w:rPr>
        <w:tab/>
        <w:t>20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5. ANEXOS</w:t>
      </w:r>
      <w:r>
        <w:rPr>
          <w:rFonts w:ascii="Calibri" w:hAnsi="Calibri" w:eastAsia="Calibri"/>
          <w:b/>
          <w:color w:val="1A1A1A"/>
          <w:sz w:val="22"/>
        </w:rPr>
        <w:tab/>
        <w:t>21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5.1 Declaración de uso de IA y fuentes</w:t>
      </w:r>
      <w:r>
        <w:rPr>
          <w:rFonts w:ascii="Calibri" w:hAnsi="Calibri" w:eastAsia="Calibri"/>
          <w:color w:val="1A1A1A"/>
          <w:sz w:val="22"/>
        </w:rPr>
        <w:tab/>
        <w:t>21</w:t>
      </w:r>
    </w:p>
    <w:p>
      <w:pPr>
        <w:pStyle w:val="Heading1"/>
        <w:pageBreakBefore/>
        <w:pBdr>
          <w:left w:val="single" w:sz="36" w:space="8" w:color="FFB800"/>
        </w:pBdr>
      </w:pPr>
      <w:r>
        <w:t>1. INTRODUCCIÓN</w:t>
      </w:r>
    </w:p>
    <w:p>
      <w:pPr>
        <w:pStyle w:val="Heading2"/>
        <w:pBdr>
          <w:left w:val="single" w:sz="28" w:space="8" w:color="FFB800"/>
        </w:pBdr>
      </w:pPr>
      <w:r>
        <w:t>1.1 Tema, contexto y objetivos</w:t>
      </w:r>
    </w:p>
    <w:p>
      <w:pPr>
        <w:pStyle w:val="Heading3"/>
      </w:pPr>
      <w:r>
        <w:t>Tema</w:t>
      </w:r>
    </w:p>
    <w:p>
      <w:r>
        <w:rPr>
          <w:rFonts w:ascii="Calibri" w:hAnsi="Calibri" w:eastAsia="Calibri"/>
        </w:rPr>
        <w:t>La interpretación, en lenguaje cotidiano, de los resultados de la encuesta de percepción y competencias del Proyecto La Puerta (n = 184).</w:t>
      </w:r>
    </w:p>
    <w:p>
      <w:pPr>
        <w:pStyle w:val="Heading3"/>
      </w:pPr>
      <w:r>
        <w:t>Contexto</w:t>
      </w:r>
    </w:p>
    <w:p>
      <w:r>
        <w:rPr>
          <w:rFonts w:ascii="Calibri" w:hAnsi="Calibri" w:eastAsia="Calibri"/>
        </w:rPr>
        <w:t>Los informes técnicos usan términos estadísticos que dificultan su uso por docentes, jefaturas, empresas y estudiantes. Este manual traduce los resultados y los acompaña con ejemplos de todos los días.</w:t>
      </w:r>
    </w:p>
    <w:p>
      <w:pPr>
        <w:pStyle w:val="Heading3"/>
      </w:pPr>
      <w:r>
        <w:t>Objetivos</w:t>
      </w:r>
    </w:p>
    <w:p>
      <w:r>
        <w:rPr>
          <w:rFonts w:ascii="Calibri" w:hAnsi="Calibri" w:eastAsia="Calibri"/>
          <w:b/>
        </w:rPr>
        <w:t>Objetivo general.</w:t>
      </w:r>
      <w:r>
        <w:rPr>
          <w:rFonts w:ascii="Calibri" w:hAnsi="Calibri" w:eastAsia="Calibri"/>
        </w:rPr>
        <w:t xml:space="preserve"> Explicar los resultados de la encuesta a un público no especializado, de modo que pueda interpretarlos y usarlos para decidir.</w:t>
      </w:r>
    </w:p>
    <w:p>
      <w:pPr>
        <w:spacing w:after="40"/>
      </w:pPr>
      <w:r>
        <w:rPr>
          <w:rFonts w:ascii="Calibri" w:hAnsi="Calibri" w:eastAsia="Calibri"/>
          <w:b/>
        </w:rPr>
        <w:t>Objetivos específicos: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Entregar ideas básicas para leer números sin errores.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Interpretar cada resultado principal con una ficha estándar.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Señalar las implicancias para cada actor.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Responder preguntas frecuentes y definir los términos.</w:t>
      </w:r>
    </w:p>
    <w:p>
      <w:pPr>
        <w:pStyle w:val="Heading3"/>
      </w:pPr>
      <w:r>
        <w:t>Organización del texto</w:t>
      </w:r>
    </w:p>
    <w:p>
      <w:r>
        <w:rPr>
          <w:rFonts w:ascii="Calibri" w:hAnsi="Calibri" w:eastAsia="Calibri"/>
        </w:rPr>
        <w:t>El documento se organiza en cinco partes: la Introducción (cómo usar el manual); el Desarrollo (ideas para leer números, fichas de resultados, implicancias, preguntas frecuentes y glosario); la Conclusión (lista de verificación antes de citar un resultado); las Referencias; y los Anexos (declaración de uso de IA).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Uso de Inteligencia Artificial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Este documento se elaboró con apoyo de IA (Claude, Anthropic). En los Anexos se detalla qué hizo la herramienta y qué debe revisar una persona, y en las Referencias se indica qué fuentes están verificadas.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1.2 Cómo usar este manual</w:t>
      </w:r>
    </w:p>
    <w:p>
      <w:r>
        <w:rPr>
          <w:rFonts w:ascii="Calibri" w:hAnsi="Calibri" w:eastAsia="Calibri"/>
        </w:rPr>
        <w:t xml:space="preserve">Este manual está escrito para quien </w:t>
      </w:r>
      <w:r>
        <w:rPr>
          <w:rFonts w:ascii="Calibri" w:hAnsi="Calibri" w:eastAsia="Calibri"/>
          <w:b/>
        </w:rPr>
        <w:t>no es estadístico ni investigador</w:t>
      </w:r>
      <w:r>
        <w:rPr>
          <w:rFonts w:ascii="Calibri" w:hAnsi="Calibri" w:eastAsia="Calibri"/>
        </w:rPr>
        <w:t xml:space="preserve">: directoras y directores de carrera, docentes, tutores de empresas, equipos de apoyo y también estudiantes. Explica, resultado por resultado, </w:t>
      </w:r>
      <w:r>
        <w:rPr>
          <w:rFonts w:ascii="Calibri" w:hAnsi="Calibri" w:eastAsia="Calibri"/>
          <w:b/>
        </w:rPr>
        <w:t>qué se encontró, qué significa en simple y qué implica</w:t>
      </w:r>
      <w:r>
        <w:rPr>
          <w:rFonts w:ascii="Calibri" w:hAnsi="Calibri" w:eastAsia="Calibri"/>
        </w:rPr>
        <w:t xml:space="preserve"> para quien debe tomar decisiones.</w:t>
      </w:r>
    </w:p>
    <w:p>
      <w:r>
        <w:rPr>
          <w:rFonts w:ascii="Calibri" w:hAnsi="Calibri" w:eastAsia="Calibri"/>
        </w:rPr>
        <w:t xml:space="preserve">No necesita leerlo de corrido. Puede ir directo a la </w:t>
      </w:r>
      <w:r>
        <w:rPr>
          <w:rFonts w:ascii="Calibri" w:hAnsi="Calibri" w:eastAsia="Calibri"/>
          <w:b/>
        </w:rPr>
        <w:t>ficha</w:t>
      </w:r>
      <w:r>
        <w:rPr>
          <w:rFonts w:ascii="Calibri" w:hAnsi="Calibri" w:eastAsia="Calibri"/>
        </w:rPr>
        <w:t xml:space="preserve"> que le interesa (Sección 3) y volver a la Sección 2 si alguna palabra le queda dudosa. Cada ficha tiene la misma estructura: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930"/>
        <w:gridCol w:w="6424"/>
      </w:tblGrid>
      <w:tr>
        <w:trPr>
          <w:tblHeader w:val="true"/>
        </w:trPr>
        <w:tc>
          <w:tcPr>
            <w:tcW w:type="dxa" w:w="2930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Parte de la ficha</w:t>
            </w:r>
          </w:p>
        </w:tc>
        <w:tc>
          <w:tcPr>
            <w:tcW w:type="dxa" w:w="642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Qué responde</w:t>
            </w:r>
          </w:p>
        </w:tc>
      </w:tr>
      <w:tr>
        <w:trPr>
          <w:cantSplit/>
        </w:trPr>
        <w:tc>
          <w:tcPr>
            <w:tcW w:type="dxa" w:w="293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Lo que muestran los datos</w:t>
            </w:r>
          </w:p>
        </w:tc>
        <w:tc>
          <w:tcPr>
            <w:tcW w:type="dxa" w:w="642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La cifra o hallazgo, sin adornos.</w:t>
            </w:r>
          </w:p>
        </w:tc>
      </w:tr>
      <w:tr>
        <w:trPr>
          <w:cantSplit/>
        </w:trPr>
        <w:tc>
          <w:tcPr>
            <w:tcW w:type="dxa" w:w="293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Dicho simple</w:t>
            </w:r>
          </w:p>
        </w:tc>
        <w:tc>
          <w:tcPr>
            <w:tcW w:type="dxa" w:w="642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Qué quiere decir en lenguaje cotidiano.</w:t>
            </w:r>
          </w:p>
        </w:tc>
      </w:tr>
      <w:tr>
        <w:trPr>
          <w:cantSplit/>
        </w:trPr>
        <w:tc>
          <w:tcPr>
            <w:tcW w:type="dxa" w:w="293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Un ejemplo de todos los días</w:t>
            </w:r>
          </w:p>
        </w:tc>
        <w:tc>
          <w:tcPr>
            <w:tcW w:type="dxa" w:w="642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Una comparación que ayuda a imaginarlo.</w:t>
            </w:r>
          </w:p>
        </w:tc>
      </w:tr>
      <w:tr>
        <w:trPr>
          <w:cantSplit/>
        </w:trPr>
        <w:tc>
          <w:tcPr>
            <w:tcW w:type="dxa" w:w="293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Qué implica para la organización</w:t>
            </w:r>
          </w:p>
        </w:tc>
        <w:tc>
          <w:tcPr>
            <w:tcW w:type="dxa" w:w="642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Qué decisión o conversación abre.</w:t>
            </w:r>
          </w:p>
        </w:tc>
      </w:tr>
      <w:tr>
        <w:trPr>
          <w:cantSplit/>
        </w:trPr>
        <w:tc>
          <w:tcPr>
            <w:tcW w:type="dxa" w:w="293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Cuánta confianza darle</w:t>
            </w:r>
          </w:p>
        </w:tc>
        <w:tc>
          <w:tcPr>
            <w:tcW w:type="dxa" w:w="642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Qué tan sólido es el hallazgo: alta, media o baja.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De dónde vienen los números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Una encuesta confidencial respondida por </w:t>
            </w:r>
            <w:r>
              <w:rPr>
                <w:rFonts w:ascii="Calibri" w:hAnsi="Calibri" w:eastAsia="Calibri"/>
                <w:b/>
                <w:sz w:val="20"/>
              </w:rPr>
              <w:t>184 estudiantes</w:t>
            </w:r>
            <w:r>
              <w:rPr>
                <w:rFonts w:ascii="Calibri" w:hAnsi="Calibri" w:eastAsia="Calibri"/>
                <w:sz w:val="20"/>
              </w:rPr>
              <w:t xml:space="preserve"> de Duoc UC Sede San Bernardo entre el 13 y el 16 de octubre de 2026. Cada persona dijo qué tan de acuerdo estaba (de 1 a 5) con 15 afirmaciones sobre su preparación para el trabajo y respondió dos preguntas abiertas. </w:t>
            </w:r>
            <w:r>
              <w:rPr>
                <w:rFonts w:ascii="Calibri" w:hAnsi="Calibri" w:eastAsia="Calibri"/>
                <w:b/>
                <w:sz w:val="20"/>
              </w:rPr>
              <w:t>Son opiniones sobre uno mismo</w:t>
            </w:r>
            <w:r>
              <w:rPr>
                <w:rFonts w:ascii="Calibri" w:hAnsi="Calibri" w:eastAsia="Calibri"/>
                <w:sz w:val="20"/>
              </w:rPr>
              <w:t>, no pruebas ni evaluaciones de desempeño.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Una advertencia importante sobre los datos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 base trae </w:t>
            </w:r>
            <w:r>
              <w:rPr>
                <w:rFonts w:ascii="Calibri" w:hAnsi="Calibri" w:eastAsia="Calibri"/>
                <w:b/>
                <w:sz w:val="20"/>
              </w:rPr>
              <w:t>184 respuestas de un solo momento</w:t>
            </w:r>
            <w:r>
              <w:rPr>
                <w:rFonts w:ascii="Calibri" w:hAnsi="Calibri" w:eastAsia="Calibri"/>
                <w:sz w:val="20"/>
              </w:rPr>
              <w:t xml:space="preserve">. Los campos que permitirían comparar «antes y después» o «grupo La Puerta vs. grupo de comparación» (código de estudiante, momento de medición y grupo de asignación) vienen </w:t>
            </w:r>
            <w:r>
              <w:rPr>
                <w:rFonts w:ascii="Calibri" w:hAnsi="Calibri" w:eastAsia="Calibri"/>
                <w:b/>
                <w:sz w:val="20"/>
              </w:rPr>
              <w:t>vacíos en las 184 filas</w:t>
            </w:r>
            <w:r>
              <w:rPr>
                <w:rFonts w:ascii="Calibri" w:hAnsi="Calibri" w:eastAsia="Calibri"/>
                <w:sz w:val="20"/>
              </w:rPr>
              <w:t>, igual que la pregunta de valoración del programa (POST_EXP1).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Por eso este análisis describe </w:t>
            </w:r>
            <w:r>
              <w:rPr>
                <w:rFonts w:ascii="Calibri" w:hAnsi="Calibri" w:eastAsia="Calibri"/>
                <w:b/>
                <w:sz w:val="20"/>
              </w:rPr>
              <w:t>cómo se perciben hoy los estudiantes</w:t>
            </w:r>
            <w:r>
              <w:rPr>
                <w:rFonts w:ascii="Calibri" w:hAnsi="Calibri" w:eastAsia="Calibri"/>
                <w:sz w:val="20"/>
              </w:rPr>
              <w:t xml:space="preserve"> y contrasta hipótesis sobre </w:t>
            </w:r>
            <w:r>
              <w:rPr>
                <w:rFonts w:ascii="Calibri" w:hAnsi="Calibri" w:eastAsia="Calibri"/>
                <w:b/>
                <w:sz w:val="20"/>
              </w:rPr>
              <w:t>diferencias entre perfiles</w:t>
            </w:r>
            <w:r>
              <w:rPr>
                <w:rFonts w:ascii="Calibri" w:hAnsi="Calibri" w:eastAsia="Calibri"/>
                <w:sz w:val="20"/>
              </w:rPr>
              <w:t xml:space="preserve"> (por ejemplo, con y sin práctica previa). </w:t>
            </w:r>
            <w:r>
              <w:rPr>
                <w:rFonts w:ascii="Calibri" w:hAnsi="Calibri" w:eastAsia="Calibri"/>
                <w:b/>
                <w:sz w:val="20"/>
              </w:rPr>
              <w:t>No puede afirmar que el programa La Puerta produzca cambios</w:t>
            </w:r>
            <w:r>
              <w:rPr>
                <w:rFonts w:ascii="Calibri" w:hAnsi="Calibri" w:eastAsia="Calibri"/>
                <w:sz w:val="20"/>
              </w:rPr>
              <w:t>: eso requiere medir a las mismas personas antes y después, con un grupo de comparación.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2. DESARROLLO</w:t>
      </w:r>
    </w:p>
    <w:p>
      <w:pPr>
        <w:pStyle w:val="Heading2"/>
        <w:pBdr>
          <w:left w:val="single" w:sz="28" w:space="8" w:color="FFB800"/>
        </w:pBdr>
      </w:pPr>
      <w:r>
        <w:t>2.1 Siete ideas para leer números sin enredarse</w:t>
      </w:r>
    </w:p>
    <w:p>
      <w:pPr>
        <w:pStyle w:val="Heading4"/>
      </w:pPr>
      <w:r>
        <w:t>1. La escala de 1 a 5</w:t>
      </w:r>
    </w:p>
    <w:p>
      <w:r>
        <w:rPr>
          <w:rFonts w:ascii="Calibri" w:hAnsi="Calibri" w:eastAsia="Calibri"/>
        </w:rPr>
        <w:t xml:space="preserve">Cada afirmación se respondió así: </w:t>
      </w:r>
      <w:r>
        <w:rPr>
          <w:rFonts w:ascii="Calibri" w:hAnsi="Calibri" w:eastAsia="Calibri"/>
          <w:b/>
        </w:rPr>
        <w:t>1</w:t>
      </w:r>
      <w:r>
        <w:rPr>
          <w:rFonts w:ascii="Calibri" w:hAnsi="Calibri" w:eastAsia="Calibri"/>
        </w:rPr>
        <w:t xml:space="preserve"> = muy en desacuerdo, </w:t>
      </w:r>
      <w:r>
        <w:rPr>
          <w:rFonts w:ascii="Calibri" w:hAnsi="Calibri" w:eastAsia="Calibri"/>
          <w:b/>
        </w:rPr>
        <w:t>2</w:t>
      </w:r>
      <w:r>
        <w:rPr>
          <w:rFonts w:ascii="Calibri" w:hAnsi="Calibri" w:eastAsia="Calibri"/>
        </w:rPr>
        <w:t xml:space="preserve"> = en desacuerdo, </w:t>
      </w:r>
      <w:r>
        <w:rPr>
          <w:rFonts w:ascii="Calibri" w:hAnsi="Calibri" w:eastAsia="Calibri"/>
          <w:b/>
        </w:rPr>
        <w:t>3</w:t>
      </w:r>
      <w:r>
        <w:rPr>
          <w:rFonts w:ascii="Calibri" w:hAnsi="Calibri" w:eastAsia="Calibri"/>
        </w:rPr>
        <w:t xml:space="preserve"> = ni de acuerdo ni en desacuerdo, </w:t>
      </w:r>
      <w:r>
        <w:rPr>
          <w:rFonts w:ascii="Calibri" w:hAnsi="Calibri" w:eastAsia="Calibri"/>
          <w:b/>
        </w:rPr>
        <w:t>4</w:t>
      </w:r>
      <w:r>
        <w:rPr>
          <w:rFonts w:ascii="Calibri" w:hAnsi="Calibri" w:eastAsia="Calibri"/>
        </w:rPr>
        <w:t xml:space="preserve"> = de acuerdo, </w:t>
      </w:r>
      <w:r>
        <w:rPr>
          <w:rFonts w:ascii="Calibri" w:hAnsi="Calibri" w:eastAsia="Calibri"/>
          <w:b/>
        </w:rPr>
        <w:t>5</w:t>
      </w:r>
      <w:r>
        <w:rPr>
          <w:rFonts w:ascii="Calibri" w:hAnsi="Calibri" w:eastAsia="Calibri"/>
        </w:rPr>
        <w:t xml:space="preserve"> = muy de acuerdo.</w:t>
      </w:r>
    </w:p>
    <w:p>
      <w:r>
        <w:rPr>
          <w:rFonts w:ascii="Calibri" w:hAnsi="Calibri" w:eastAsia="Calibri"/>
          <w:b/>
          <w:color w:val="666666"/>
          <w:sz w:val="19"/>
        </w:rPr>
        <w:t>Ejemplo cotidiano:</w:t>
      </w:r>
      <w:r>
        <w:rPr>
          <w:rFonts w:ascii="Calibri" w:hAnsi="Calibri" w:eastAsia="Calibri"/>
          <w:color w:val="666666"/>
          <w:sz w:val="19"/>
        </w:rPr>
        <w:t xml:space="preserve"> Es como calificar un restaurante con estrellas: un 4 significa «bien», un 5 «excelente», un 3 «ni fu ni fa».</w:t>
      </w:r>
    </w:p>
    <w:p>
      <w:pPr>
        <w:pStyle w:val="Heading4"/>
      </w:pPr>
      <w:r>
        <w:t>2. El promedio</w:t>
      </w:r>
    </w:p>
    <w:p>
      <w:r>
        <w:rPr>
          <w:rFonts w:ascii="Calibri" w:hAnsi="Calibri" w:eastAsia="Calibri"/>
        </w:rPr>
        <w:t>Suma de todas las respuestas dividida por el número de personas. Resume en un solo número qué tan de acuerdo estuvo el grupo.</w:t>
      </w:r>
    </w:p>
    <w:p>
      <w:r>
        <w:rPr>
          <w:rFonts w:ascii="Calibri" w:hAnsi="Calibri" w:eastAsia="Calibri"/>
          <w:b/>
          <w:color w:val="666666"/>
          <w:sz w:val="19"/>
        </w:rPr>
        <w:t>Ejemplo cotidiano:</w:t>
      </w:r>
      <w:r>
        <w:rPr>
          <w:rFonts w:ascii="Calibri" w:hAnsi="Calibri" w:eastAsia="Calibri"/>
          <w:color w:val="666666"/>
          <w:sz w:val="19"/>
        </w:rPr>
        <w:t xml:space="preserve"> Si cinco amigos califican una película con 5, 4, 4, 3 y 4, el promedio es 4,0. Pero ese 4,0 no muestra que alguien puso 3.</w:t>
      </w:r>
    </w:p>
    <w:p>
      <w:pPr>
        <w:pStyle w:val="Heading4"/>
      </w:pPr>
      <w:r>
        <w:t>3. El porcentaje de acuerdo</w:t>
      </w:r>
    </w:p>
    <w:p>
      <w:r>
        <w:rPr>
          <w:rFonts w:ascii="Calibri" w:hAnsi="Calibri" w:eastAsia="Calibri"/>
        </w:rPr>
        <w:t xml:space="preserve">Es el porcentaje de personas que respondió </w:t>
      </w:r>
      <w:r>
        <w:rPr>
          <w:rFonts w:ascii="Calibri" w:hAnsi="Calibri" w:eastAsia="Calibri"/>
          <w:b/>
        </w:rPr>
        <w:t>4 o 5</w:t>
      </w:r>
      <w:r>
        <w:rPr>
          <w:rFonts w:ascii="Calibri" w:hAnsi="Calibri" w:eastAsia="Calibri"/>
        </w:rPr>
        <w:t>. Es la cifra más fácil de entender y por eso la usamos para el semáforo.</w:t>
      </w:r>
    </w:p>
    <w:p>
      <w:r>
        <w:rPr>
          <w:rFonts w:ascii="Calibri" w:hAnsi="Calibri" w:eastAsia="Calibri"/>
          <w:b/>
          <w:color w:val="666666"/>
          <w:sz w:val="19"/>
        </w:rPr>
        <w:t>Ejemplo cotidiano:</w:t>
      </w:r>
      <w:r>
        <w:rPr>
          <w:rFonts w:ascii="Calibri" w:hAnsi="Calibri" w:eastAsia="Calibri"/>
          <w:color w:val="666666"/>
          <w:sz w:val="19"/>
        </w:rPr>
        <w:t xml:space="preserve"> Si de 100 personas, 70 dicen «de acuerdo» o «muy de acuerdo», el porcentaje de acuerdo es 70 %.</w:t>
      </w:r>
    </w:p>
    <w:p>
      <w:pPr>
        <w:pStyle w:val="Heading4"/>
      </w:pPr>
      <w:r>
        <w:t>4. La meta de 70 %</w:t>
      </w:r>
    </w:p>
    <w:p>
      <w:r>
        <w:rPr>
          <w:rFonts w:ascii="Calibri" w:hAnsi="Calibri" w:eastAsia="Calibri"/>
        </w:rPr>
        <w:t xml:space="preserve">Usamos 70 % como meta por analogía con la </w:t>
      </w:r>
      <w:r>
        <w:rPr>
          <w:rFonts w:ascii="Calibri" w:hAnsi="Calibri" w:eastAsia="Calibri"/>
          <w:b/>
        </w:rPr>
        <w:t>exigencia del 70 %</w:t>
      </w:r>
      <w:r>
        <w:rPr>
          <w:rFonts w:ascii="Calibri" w:hAnsi="Calibri" w:eastAsia="Calibri"/>
        </w:rPr>
        <w:t xml:space="preserve"> que se aplica en las rúbricas de Duoc: se espera que la mayoría —no solo la mitad— esté de acuerdo.</w:t>
      </w:r>
    </w:p>
    <w:p>
      <w:r>
        <w:rPr>
          <w:rFonts w:ascii="Calibri" w:hAnsi="Calibri" w:eastAsia="Calibri"/>
          <w:b/>
          <w:color w:val="666666"/>
          <w:sz w:val="19"/>
        </w:rPr>
        <w:t>Ejemplo cotidiano:</w:t>
      </w:r>
      <w:r>
        <w:rPr>
          <w:rFonts w:ascii="Calibri" w:hAnsi="Calibri" w:eastAsia="Calibri"/>
          <w:color w:val="666666"/>
          <w:sz w:val="19"/>
        </w:rPr>
        <w:t xml:space="preserve"> Es como pedir 70 % de logro para dar por aprobada una evaluación.</w:t>
      </w:r>
    </w:p>
    <w:p>
      <w:pPr>
        <w:pStyle w:val="Heading4"/>
      </w:pPr>
      <w:r>
        <w:t>5. El margen de error</w:t>
      </w:r>
    </w:p>
    <w:p>
      <w:r>
        <w:rPr>
          <w:rFonts w:ascii="Calibri" w:hAnsi="Calibri" w:eastAsia="Calibri"/>
        </w:rPr>
        <w:t>Como solo respondieron algunos estudiantes y no todos, el número exacto podría ser algo distinto si preguntáramos a otro grupo. El margen de error es el «más o menos» alrededor del promedio.</w:t>
      </w:r>
    </w:p>
    <w:p>
      <w:r>
        <w:rPr>
          <w:rFonts w:ascii="Calibri" w:hAnsi="Calibri" w:eastAsia="Calibri"/>
          <w:b/>
          <w:color w:val="666666"/>
          <w:sz w:val="19"/>
        </w:rPr>
        <w:t>Ejemplo cotidiano:</w:t>
      </w:r>
      <w:r>
        <w:rPr>
          <w:rFonts w:ascii="Calibri" w:hAnsi="Calibri" w:eastAsia="Calibri"/>
          <w:color w:val="666666"/>
          <w:sz w:val="19"/>
        </w:rPr>
        <w:t xml:space="preserve"> Es como la balanza de la feria: marca 1 kilo, pero podría ser 980 o 1.020 gramos. Si dos marcas se traslapan, no hay diferencia clara.</w:t>
      </w:r>
    </w:p>
    <w:p>
      <w:pPr>
        <w:pStyle w:val="Heading4"/>
      </w:pPr>
      <w:r>
        <w:t>6. Diferencia grande o pequeña, y diferencia «significativa»</w:t>
      </w:r>
    </w:p>
    <w:p>
      <w:r>
        <w:rPr>
          <w:rFonts w:ascii="Calibri" w:hAnsi="Calibri" w:eastAsia="Calibri"/>
        </w:rPr>
        <w:t xml:space="preserve">Una diferencia puede ser </w:t>
      </w:r>
      <w:r>
        <w:rPr>
          <w:rFonts w:ascii="Calibri" w:hAnsi="Calibri" w:eastAsia="Calibri"/>
          <w:b/>
        </w:rPr>
        <w:t>real pero pequeña</w:t>
      </w:r>
      <w:r>
        <w:rPr>
          <w:rFonts w:ascii="Calibri" w:hAnsi="Calibri" w:eastAsia="Calibri"/>
        </w:rPr>
        <w:t xml:space="preserve">, o </w:t>
      </w:r>
      <w:r>
        <w:rPr>
          <w:rFonts w:ascii="Calibri" w:hAnsi="Calibri" w:eastAsia="Calibri"/>
          <w:b/>
        </w:rPr>
        <w:t>grande pero poco confiable</w:t>
      </w:r>
      <w:r>
        <w:rPr>
          <w:rFonts w:ascii="Calibri" w:hAnsi="Calibri" w:eastAsia="Calibri"/>
        </w:rPr>
        <w:t xml:space="preserve"> si hay pocas personas. «Significativa» solo quiere decir «es difícil que sea casualidad»; </w:t>
      </w:r>
      <w:r>
        <w:rPr>
          <w:rFonts w:ascii="Calibri" w:hAnsi="Calibri" w:eastAsia="Calibri"/>
          <w:b/>
        </w:rPr>
        <w:t>no</w:t>
      </w:r>
      <w:r>
        <w:rPr>
          <w:rFonts w:ascii="Calibri" w:hAnsi="Calibri" w:eastAsia="Calibri"/>
        </w:rPr>
        <w:t xml:space="preserve"> quiere decir «importante».</w:t>
      </w:r>
    </w:p>
    <w:p>
      <w:r>
        <w:rPr>
          <w:rFonts w:ascii="Calibri" w:hAnsi="Calibri" w:eastAsia="Calibri"/>
          <w:b/>
          <w:color w:val="666666"/>
          <w:sz w:val="19"/>
        </w:rPr>
        <w:t>Ejemplo cotidiano:</w:t>
      </w:r>
      <w:r>
        <w:rPr>
          <w:rFonts w:ascii="Calibri" w:hAnsi="Calibri" w:eastAsia="Calibri"/>
          <w:color w:val="666666"/>
          <w:sz w:val="19"/>
        </w:rPr>
        <w:t xml:space="preserve"> Diferencia de 0,17 puntos (con vs. sin práctica) en una escala de 1 a 5: es como pasar de un 4,0 a un 4,17. Se nota poco.</w:t>
      </w:r>
    </w:p>
    <w:p>
      <w:pPr>
        <w:pStyle w:val="Heading4"/>
      </w:pPr>
      <w:r>
        <w:t>7. Relación no es causa</w:t>
      </w:r>
    </w:p>
    <w:p>
      <w:r>
        <w:rPr>
          <w:rFonts w:ascii="Calibri" w:hAnsi="Calibri" w:eastAsia="Calibri"/>
        </w:rPr>
        <w:t>Que dos cosas vayan juntas (por ejemplo, saber cómo es el trabajo y sentirse seguro) no prueba que una cause la otra. Puede haber una tercera cosa detrás, o que sea al revés.</w:t>
      </w:r>
    </w:p>
    <w:p>
      <w:r>
        <w:rPr>
          <w:rFonts w:ascii="Calibri" w:hAnsi="Calibri" w:eastAsia="Calibri"/>
          <w:b/>
          <w:color w:val="666666"/>
          <w:sz w:val="19"/>
        </w:rPr>
        <w:t>Ejemplo cotidiano:</w:t>
      </w:r>
      <w:r>
        <w:rPr>
          <w:rFonts w:ascii="Calibri" w:hAnsi="Calibri" w:eastAsia="Calibri"/>
          <w:color w:val="666666"/>
          <w:sz w:val="19"/>
        </w:rPr>
        <w:t xml:space="preserve"> Las personas que llevan paraguas y las que se mojan suelen coincidir: el paraguas no causa la lluvia.</w:t>
      </w:r>
    </w:p>
    <w:p>
      <w:pPr>
        <w:pStyle w:val="Heading2"/>
        <w:pBdr>
          <w:left w:val="single" w:sz="28" w:space="8" w:color="FFB800"/>
        </w:pBdr>
      </w:pPr>
      <w:r>
        <w:t>2.2 Los resultados, uno por uno (fichas)</w:t>
      </w:r>
    </w:p>
    <w:p>
      <w:pPr>
        <w:pStyle w:val="Heading3"/>
      </w:pPr>
      <w:r>
        <w:t>Ficha 1 · El puntaje global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232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_global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32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Cómo se distribuye el puntaje global.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Promedio global </w:t>
            </w:r>
            <w:r>
              <w:rPr>
                <w:rFonts w:ascii="Calibri" w:hAnsi="Calibri" w:eastAsia="Calibri"/>
                <w:b/>
                <w:sz w:val="19"/>
              </w:rPr>
              <w:t>3,87</w:t>
            </w:r>
            <w:r>
              <w:rPr>
                <w:rFonts w:ascii="Calibri" w:hAnsi="Calibri" w:eastAsia="Calibri"/>
                <w:sz w:val="19"/>
              </w:rPr>
              <w:t xml:space="preserve"> de 5 (margen de error: 3,77 a 3,96). El 70 % de todas las respuestas fue «de acuerdo» o «muy de acuerdo» y solo el 9 % «en desacuerdo».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Los estudiantes, en general, se sienten bastante preparados. No es un resultado sobresaliente (que sería 4,2 o más), pero tampoco preocupante (menos de 3,5).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un curso con nota promedio 5,3 en escala de 1 a 7: «va bien», con espacio para subir.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Hay una base para construir. Lo que corresponde es mejorar puntos específicos, no rehacer todo.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Alta.</w:t>
            </w:r>
          </w:p>
        </w:tc>
      </w:tr>
    </w:tbl>
    <w:p>
      <w:pPr>
        <w:spacing w:after="80"/>
      </w:pPr>
    </w:p>
    <w:p>
      <w:pPr>
        <w:pStyle w:val="Heading3"/>
      </w:pPr>
      <w:r>
        <w:t>Ficha 2 · Las fortalezas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Más de 80 % de acuerdo en: dialogar y lograr acuerdos en equipo (</w:t>
            </w:r>
            <w:r>
              <w:rPr>
                <w:rFonts w:ascii="Calibri" w:hAnsi="Calibri" w:eastAsia="Calibri"/>
                <w:b/>
                <w:sz w:val="19"/>
              </w:rPr>
              <w:t>87 %</w:t>
            </w:r>
            <w:r>
              <w:rPr>
                <w:rFonts w:ascii="Calibri" w:hAnsi="Calibri" w:eastAsia="Calibri"/>
                <w:sz w:val="19"/>
              </w:rPr>
              <w:t>), mantener la ética bajo presión (</w:t>
            </w:r>
            <w:r>
              <w:rPr>
                <w:rFonts w:ascii="Calibri" w:hAnsi="Calibri" w:eastAsia="Calibri"/>
                <w:b/>
                <w:sz w:val="19"/>
              </w:rPr>
              <w:t>85 %</w:t>
            </w:r>
            <w:r>
              <w:rPr>
                <w:rFonts w:ascii="Calibri" w:hAnsi="Calibri" w:eastAsia="Calibri"/>
                <w:sz w:val="19"/>
              </w:rPr>
              <w:t>), querer proyectos con empresas (</w:t>
            </w:r>
            <w:r>
              <w:rPr>
                <w:rFonts w:ascii="Calibri" w:hAnsi="Calibri" w:eastAsia="Calibri"/>
                <w:b/>
                <w:sz w:val="19"/>
              </w:rPr>
              <w:t>83 %</w:t>
            </w:r>
            <w:r>
              <w:rPr>
                <w:rFonts w:ascii="Calibri" w:hAnsi="Calibri" w:eastAsia="Calibri"/>
                <w:sz w:val="19"/>
              </w:rPr>
              <w:t>), confiar ante una tarea nueva (</w:t>
            </w:r>
            <w:r>
              <w:rPr>
                <w:rFonts w:ascii="Calibri" w:hAnsi="Calibri" w:eastAsia="Calibri"/>
                <w:b/>
                <w:sz w:val="19"/>
              </w:rPr>
              <w:t>82 %</w:t>
            </w:r>
            <w:r>
              <w:rPr>
                <w:rFonts w:ascii="Calibri" w:hAnsi="Calibri" w:eastAsia="Calibri"/>
                <w:sz w:val="19"/>
              </w:rPr>
              <w:t>) y saber cuándo actuar solo o consultar (</w:t>
            </w:r>
            <w:r>
              <w:rPr>
                <w:rFonts w:ascii="Calibri" w:hAnsi="Calibri" w:eastAsia="Calibri"/>
                <w:b/>
                <w:sz w:val="19"/>
              </w:rPr>
              <w:t>80 %</w:t>
            </w:r>
            <w:r>
              <w:rPr>
                <w:rFonts w:ascii="Calibri" w:hAnsi="Calibri" w:eastAsia="Calibri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Los estudiantes llegan con buena </w:t>
            </w:r>
            <w:r>
              <w:rPr>
                <w:rFonts w:ascii="Calibri" w:hAnsi="Calibri" w:eastAsia="Calibri"/>
                <w:b/>
                <w:sz w:val="19"/>
              </w:rPr>
              <w:t>actitud</w:t>
            </w:r>
            <w:r>
              <w:rPr>
                <w:rFonts w:ascii="Calibri" w:hAnsi="Calibri" w:eastAsia="Calibri"/>
                <w:sz w:val="19"/>
              </w:rPr>
              <w:t>: dispuestos a conversar, a aprender, a hacer las cosas bien.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un equipo de fútbol con buenas ganas y buen compañerismo: falta pulir la técnica, pero la base humana está.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Se puede apostar a metodologías participativas y de equipo; las quejas por «falta de actitud» no tienen respaldo en estos datos.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Alta (son opiniones, no conductas observadas).</w:t>
            </w:r>
          </w:p>
        </w:tc>
      </w:tr>
    </w:tbl>
    <w:p>
      <w:pPr>
        <w:spacing w:after="80"/>
      </w:pPr>
    </w:p>
    <w:p>
      <w:pPr>
        <w:pStyle w:val="Heading3"/>
      </w:pPr>
      <w:r>
        <w:t>Ficha 3 · Conocer el trabajo «de verdad»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Menos de 70 % de acuerdo en: conocer las tareas reales (</w:t>
            </w:r>
            <w:r>
              <w:rPr>
                <w:rFonts w:ascii="Calibri" w:hAnsi="Calibri" w:eastAsia="Calibri"/>
                <w:b/>
                <w:sz w:val="19"/>
              </w:rPr>
              <w:t>68 %</w:t>
            </w:r>
            <w:r>
              <w:rPr>
                <w:rFonts w:ascii="Calibri" w:hAnsi="Calibri" w:eastAsia="Calibri"/>
                <w:sz w:val="19"/>
              </w:rPr>
              <w:t>), las exigencias de las empresas (</w:t>
            </w:r>
            <w:r>
              <w:rPr>
                <w:rFonts w:ascii="Calibri" w:hAnsi="Calibri" w:eastAsia="Calibri"/>
                <w:b/>
                <w:sz w:val="19"/>
              </w:rPr>
              <w:t>69 %</w:t>
            </w:r>
            <w:r>
              <w:rPr>
                <w:rFonts w:ascii="Calibri" w:hAnsi="Calibri" w:eastAsia="Calibri"/>
                <w:sz w:val="19"/>
              </w:rPr>
              <w:t>), haber comprobado si el trabajo calza con sus intereses (</w:t>
            </w:r>
            <w:r>
              <w:rPr>
                <w:rFonts w:ascii="Calibri" w:hAnsi="Calibri" w:eastAsia="Calibri"/>
                <w:b/>
                <w:sz w:val="19"/>
              </w:rPr>
              <w:t>62 %</w:t>
            </w:r>
            <w:r>
              <w:rPr>
                <w:rFonts w:ascii="Calibri" w:hAnsi="Calibri" w:eastAsia="Calibri"/>
                <w:sz w:val="19"/>
              </w:rPr>
              <w:t>) y elegir el método adecuado para la empresa (</w:t>
            </w:r>
            <w:r>
              <w:rPr>
                <w:rFonts w:ascii="Calibri" w:hAnsi="Calibri" w:eastAsia="Calibri"/>
                <w:b/>
                <w:sz w:val="19"/>
              </w:rPr>
              <w:t>66 %</w:t>
            </w:r>
            <w:r>
              <w:rPr>
                <w:rFonts w:ascii="Calibri" w:hAnsi="Calibri" w:eastAsia="Calibri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Se sienten capaces, pero </w:t>
            </w:r>
            <w:r>
              <w:rPr>
                <w:rFonts w:ascii="Calibri" w:hAnsi="Calibri" w:eastAsia="Calibri"/>
                <w:b/>
                <w:sz w:val="19"/>
              </w:rPr>
              <w:t>aún no han visto lo suficiente del trabajo real</w:t>
            </w:r>
            <w:r>
              <w:rPr>
                <w:rFonts w:ascii="Calibri" w:hAnsi="Calibri" w:eastAsia="Calibri"/>
                <w:sz w:val="19"/>
              </w:rPr>
              <w:t xml:space="preserve"> para tener certeza.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alguien que aprendió a manejar en un simulador: se siente capaz, pero todavía no ha salido a la calle.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Priorizar actividades que acerquen la realidad laboral: visitas, simulaciones, casos con empresas, tutores de empresa que cuenten su día a día.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Alta para el dato; media para la explicación.</w:t>
            </w:r>
          </w:p>
        </w:tc>
      </w:tr>
    </w:tbl>
    <w:p>
      <w:pPr>
        <w:spacing w:after="80"/>
      </w:pPr>
    </w:p>
    <w:p>
      <w:pPr>
        <w:pStyle w:val="Heading3"/>
      </w:pPr>
      <w:r>
        <w:t>Ficha 4 · La red de contactos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1491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6_re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9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Interés alto, red baja.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Solo </w:t>
            </w:r>
            <w:r>
              <w:rPr>
                <w:rFonts w:ascii="Calibri" w:hAnsi="Calibri" w:eastAsia="Calibri"/>
                <w:b/>
                <w:sz w:val="19"/>
              </w:rPr>
              <w:t>41 %</w:t>
            </w:r>
            <w:r>
              <w:rPr>
                <w:rFonts w:ascii="Calibri" w:hAnsi="Calibri" w:eastAsia="Calibri"/>
                <w:sz w:val="19"/>
              </w:rPr>
              <w:t xml:space="preserve"> dice tener una red de contactos laborales a quienes recurrir; </w:t>
            </w:r>
            <w:r>
              <w:rPr>
                <w:rFonts w:ascii="Calibri" w:hAnsi="Calibri" w:eastAsia="Calibri"/>
                <w:b/>
                <w:sz w:val="19"/>
              </w:rPr>
              <w:t>30 %</w:t>
            </w:r>
            <w:r>
              <w:rPr>
                <w:rFonts w:ascii="Calibri" w:hAnsi="Calibri" w:eastAsia="Calibri"/>
                <w:sz w:val="19"/>
              </w:rPr>
              <w:t xml:space="preserve"> dice que no. Es la afirmación más baja de las 15 y </w:t>
            </w:r>
            <w:r>
              <w:rPr>
                <w:rFonts w:ascii="Calibri" w:hAnsi="Calibri" w:eastAsia="Calibri"/>
                <w:b/>
                <w:sz w:val="19"/>
              </w:rPr>
              <w:t>es significativamente menor que cada una de las otras 14</w:t>
            </w:r>
            <w:r>
              <w:rPr>
                <w:rFonts w:ascii="Calibri" w:hAnsi="Calibri" w:eastAsia="Calibri"/>
                <w:sz w:val="19"/>
              </w:rPr>
              <w:t>. Sucede con y sin práctica previa y en todos los años.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Más de la mitad de los estudiantes </w:t>
            </w:r>
            <w:r>
              <w:rPr>
                <w:rFonts w:ascii="Calibri" w:hAnsi="Calibri" w:eastAsia="Calibri"/>
                <w:b/>
                <w:sz w:val="19"/>
              </w:rPr>
              <w:t>no tiene a quién preguntar</w:t>
            </w:r>
            <w:r>
              <w:rPr>
                <w:rFonts w:ascii="Calibri" w:hAnsi="Calibri" w:eastAsia="Calibri"/>
                <w:sz w:val="19"/>
              </w:rPr>
              <w:t xml:space="preserve"> cuando quiere saber cómo es un trabajo o cómo conseguir una práctica.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llegar a una ciudad nueva sin conocer a nadie: se puede salir adelante, pero se pierden recomendaciones, información y oportunidades.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Es la brecha más clara. Conviene crear </w:t>
            </w:r>
            <w:r>
              <w:rPr>
                <w:rFonts w:ascii="Calibri" w:hAnsi="Calibri" w:eastAsia="Calibri"/>
                <w:b/>
                <w:sz w:val="19"/>
              </w:rPr>
              <w:t>puentes</w:t>
            </w:r>
            <w:r>
              <w:rPr>
                <w:rFonts w:ascii="Calibri" w:hAnsi="Calibri" w:eastAsia="Calibri"/>
                <w:sz w:val="19"/>
              </w:rPr>
              <w:t xml:space="preserve"> con egresados, empresas socias y profesionales desde el primer año (mentorías, charlas, ferias).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Alta.</w:t>
            </w:r>
          </w:p>
        </w:tc>
      </w:tr>
    </w:tbl>
    <w:p>
      <w:pPr>
        <w:spacing w:after="80"/>
      </w:pPr>
    </w:p>
    <w:p>
      <w:pPr>
        <w:pStyle w:val="Heading3"/>
      </w:pPr>
      <w:r>
        <w:t>Ficha 5 · Querer vs. tener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Quieren participar en proyectos con empresas reales (</w:t>
            </w:r>
            <w:r>
              <w:rPr>
                <w:rFonts w:ascii="Calibri" w:hAnsi="Calibri" w:eastAsia="Calibri"/>
                <w:b/>
                <w:sz w:val="19"/>
              </w:rPr>
              <w:t>83 %</w:t>
            </w:r>
            <w:r>
              <w:rPr>
                <w:rFonts w:ascii="Calibri" w:hAnsi="Calibri" w:eastAsia="Calibri"/>
                <w:sz w:val="19"/>
              </w:rPr>
              <w:t xml:space="preserve">), pero no tienen la red para hacerlo (P12: 41 %). Por eso el promedio de la dimensión de redes (3,72) </w:t>
            </w:r>
            <w:r>
              <w:rPr>
                <w:rFonts w:ascii="Calibri" w:hAnsi="Calibri" w:eastAsia="Calibri"/>
                <w:b/>
                <w:sz w:val="19"/>
              </w:rPr>
              <w:t>esconde dos realidades opuestas</w:t>
            </w:r>
            <w:r>
              <w:rPr>
                <w:rFonts w:ascii="Calibri" w:hAnsi="Calibri" w:eastAsia="Calibri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Hay </w:t>
            </w:r>
            <w:r>
              <w:rPr>
                <w:rFonts w:ascii="Calibri" w:hAnsi="Calibri" w:eastAsia="Calibri"/>
                <w:b/>
                <w:sz w:val="19"/>
              </w:rPr>
              <w:t>ganas de sobra</w:t>
            </w:r>
            <w:r>
              <w:rPr>
                <w:rFonts w:ascii="Calibri" w:hAnsi="Calibri" w:eastAsia="Calibri"/>
                <w:sz w:val="19"/>
              </w:rPr>
              <w:t xml:space="preserve"> y </w:t>
            </w:r>
            <w:r>
              <w:rPr>
                <w:rFonts w:ascii="Calibri" w:hAnsi="Calibri" w:eastAsia="Calibri"/>
                <w:b/>
                <w:sz w:val="19"/>
              </w:rPr>
              <w:t>pocos puentes</w:t>
            </w:r>
            <w:r>
              <w:rPr>
                <w:rFonts w:ascii="Calibri" w:hAnsi="Calibri" w:eastAsia="Calibri"/>
                <w:sz w:val="19"/>
              </w:rPr>
              <w:t>. El problema no es motivación: es acceso.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tener hambre en una casa sin cocina: el apetito existe, falta la forma de satisfacerlo.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Las iniciativas tipo La Puerta tienen una demanda ya instalada. Además, en la próxima encuesta conviene separar «interés» de «red».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Alta.</w:t>
            </w:r>
          </w:p>
        </w:tc>
      </w:tr>
    </w:tbl>
    <w:p>
      <w:pPr>
        <w:spacing w:after="80"/>
      </w:pPr>
    </w:p>
    <w:p>
      <w:pPr>
        <w:pStyle w:val="Heading3"/>
      </w:pPr>
      <w:r>
        <w:t>Ficha 6 · Práctica previa: ¿hace diferencia?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232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6_pract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3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Con y sin práctica previa, por dimensión.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Quienes ya hicieron una práctica puntúan </w:t>
            </w:r>
            <w:r>
              <w:rPr>
                <w:rFonts w:ascii="Calibri" w:hAnsi="Calibri" w:eastAsia="Calibri"/>
                <w:b/>
                <w:sz w:val="19"/>
              </w:rPr>
              <w:t>3,97</w:t>
            </w:r>
            <w:r>
              <w:rPr>
                <w:rFonts w:ascii="Calibri" w:hAnsi="Calibri" w:eastAsia="Calibri"/>
                <w:sz w:val="19"/>
              </w:rPr>
              <w:t xml:space="preserve"> y quienes no </w:t>
            </w:r>
            <w:r>
              <w:rPr>
                <w:rFonts w:ascii="Calibri" w:hAnsi="Calibri" w:eastAsia="Calibri"/>
                <w:b/>
                <w:sz w:val="19"/>
              </w:rPr>
              <w:t>3,80</w:t>
            </w:r>
            <w:r>
              <w:rPr>
                <w:rFonts w:ascii="Calibri" w:hAnsi="Calibri" w:eastAsia="Calibri"/>
                <w:sz w:val="19"/>
              </w:rPr>
              <w:t xml:space="preserve">: una diferencia de </w:t>
            </w:r>
            <w:r>
              <w:rPr>
                <w:rFonts w:ascii="Calibri" w:hAnsi="Calibri" w:eastAsia="Calibri"/>
                <w:b/>
                <w:sz w:val="19"/>
              </w:rPr>
              <w:t>0,17</w:t>
            </w:r>
            <w:r>
              <w:rPr>
                <w:rFonts w:ascii="Calibri" w:hAnsi="Calibri" w:eastAsia="Calibri"/>
                <w:sz w:val="19"/>
              </w:rPr>
              <w:t xml:space="preserve">. El proyecto esperaba una diferencia de 0,8 a 1,2 puntos. La diferencia observada es </w:t>
            </w:r>
            <w:r>
              <w:rPr>
                <w:rFonts w:ascii="Calibri" w:hAnsi="Calibri" w:eastAsia="Calibri"/>
                <w:b/>
                <w:sz w:val="19"/>
              </w:rPr>
              <w:t>pequeña y no concluyente</w:t>
            </w:r>
            <w:r>
              <w:rPr>
                <w:rFonts w:ascii="Calibri" w:hAnsi="Calibri" w:eastAsia="Calibri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La práctica previa </w:t>
            </w:r>
            <w:r>
              <w:rPr>
                <w:rFonts w:ascii="Calibri" w:hAnsi="Calibri" w:eastAsia="Calibri"/>
                <w:b/>
                <w:sz w:val="19"/>
              </w:rPr>
              <w:t>ayuda un poco</w:t>
            </w:r>
            <w:r>
              <w:rPr>
                <w:rFonts w:ascii="Calibri" w:hAnsi="Calibri" w:eastAsia="Calibri"/>
                <w:sz w:val="19"/>
              </w:rPr>
              <w:t>, pero no es lo que separa a quienes se sienten preparados de quienes no.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la ventaja de haber probado antes un deporte: ayuda a partir, pero lo que decide es cuánto se practica y cómo.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No conviene tratar a las personas «sin práctica previa» como un grupo de riesgo por esa sola razón. Es mejor mirar quién está en semáforo rojo y qué brechas concretas tiene.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Media (efecto pequeño; la muestra no permite ser tajante).</w:t>
            </w:r>
          </w:p>
        </w:tc>
      </w:tr>
    </w:tbl>
    <w:p>
      <w:pPr>
        <w:spacing w:after="80"/>
      </w:pPr>
    </w:p>
    <w:p>
      <w:pPr>
        <w:pStyle w:val="Heading3"/>
      </w:pPr>
      <w:r>
        <w:t>Ficha 7 · El año de estudio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No hay una escalera que suba semestre a semestre. El tramo 3.º–4.º semestre es el más bajo (3,76), y 5.º semestre o más el más alto (3,99), pero estas diferencias </w:t>
            </w:r>
            <w:r>
              <w:rPr>
                <w:rFonts w:ascii="Calibri" w:hAnsi="Calibri" w:eastAsia="Calibri"/>
                <w:b/>
                <w:sz w:val="19"/>
              </w:rPr>
              <w:t>no son confiables</w:t>
            </w:r>
            <w:r>
              <w:rPr>
                <w:rFonts w:ascii="Calibri" w:hAnsi="Calibri" w:eastAsia="Calibri"/>
                <w:sz w:val="19"/>
              </w:rPr>
              <w:t xml:space="preserve"> estadísticamente.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Avanzar de semestre </w:t>
            </w:r>
            <w:r>
              <w:rPr>
                <w:rFonts w:ascii="Calibri" w:hAnsi="Calibri" w:eastAsia="Calibri"/>
                <w:b/>
                <w:sz w:val="19"/>
              </w:rPr>
              <w:t>por sí solo</w:t>
            </w:r>
            <w:r>
              <w:rPr>
                <w:rFonts w:ascii="Calibri" w:hAnsi="Calibri" w:eastAsia="Calibri"/>
                <w:sz w:val="19"/>
              </w:rPr>
              <w:t xml:space="preserve"> no hace que los estudiantes se sientan más preparados.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un curso de natación: pasar los meses no basta; hay que meterse al agua.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Una hipótesis a observar: un «valle» a mitad de carrera. No es un hecho; hay que mirarlo en la próxima medición.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Baja.</w:t>
            </w:r>
          </w:p>
        </w:tc>
      </w:tr>
    </w:tbl>
    <w:p>
      <w:pPr>
        <w:spacing w:after="80"/>
      </w:pPr>
    </w:p>
    <w:p>
      <w:pPr>
        <w:pStyle w:val="Heading3"/>
      </w:pPr>
      <w:r>
        <w:t>Ficha 8 · El semáforo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055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2_semaforo_of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5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Semáforo oficial, con y sin práctica previa.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Con los cortes oficiales del proyecto (verde 4,20 o más; amarillo 3,50 a 4,19; rojo menos de 3,50): </w:t>
            </w:r>
            <w:r>
              <w:rPr>
                <w:rFonts w:ascii="Calibri" w:hAnsi="Calibri" w:eastAsia="Calibri"/>
                <w:b/>
                <w:sz w:val="19"/>
              </w:rPr>
              <w:t>32 %</w:t>
            </w:r>
            <w:r>
              <w:rPr>
                <w:rFonts w:ascii="Calibri" w:hAnsi="Calibri" w:eastAsia="Calibri"/>
                <w:sz w:val="19"/>
              </w:rPr>
              <w:t xml:space="preserve"> verde, </w:t>
            </w:r>
            <w:r>
              <w:rPr>
                <w:rFonts w:ascii="Calibri" w:hAnsi="Calibri" w:eastAsia="Calibri"/>
                <w:b/>
                <w:sz w:val="19"/>
              </w:rPr>
              <w:t>47 %</w:t>
            </w:r>
            <w:r>
              <w:rPr>
                <w:rFonts w:ascii="Calibri" w:hAnsi="Calibri" w:eastAsia="Calibri"/>
                <w:sz w:val="19"/>
              </w:rPr>
              <w:t xml:space="preserve"> amarillo y </w:t>
            </w:r>
            <w:r>
              <w:rPr>
                <w:rFonts w:ascii="Calibri" w:hAnsi="Calibri" w:eastAsia="Calibri"/>
                <w:b/>
                <w:sz w:val="19"/>
              </w:rPr>
              <w:t>21 %</w:t>
            </w:r>
            <w:r>
              <w:rPr>
                <w:rFonts w:ascii="Calibri" w:hAnsi="Calibri" w:eastAsia="Calibri"/>
                <w:sz w:val="19"/>
              </w:rPr>
              <w:t xml:space="preserve"> rojo (38 personas). Rojos: 14 % con práctica previa y 25 % sin práctica.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Cerca de </w:t>
            </w:r>
            <w:r>
              <w:rPr>
                <w:rFonts w:ascii="Calibri" w:hAnsi="Calibri" w:eastAsia="Calibri"/>
                <w:b/>
                <w:sz w:val="19"/>
              </w:rPr>
              <w:t>uno de cada cinco</w:t>
            </w:r>
            <w:r>
              <w:rPr>
                <w:rFonts w:ascii="Calibri" w:hAnsi="Calibri" w:eastAsia="Calibri"/>
                <w:sz w:val="19"/>
              </w:rPr>
              <w:t xml:space="preserve"> estudiantes tiene una autopercepción baja y podría necesitar acompañamiento antes de la práctica.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una alerta preventiva de salud: no es un diagnóstico, sino una señal para mirar con más atención.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Conviene acompañar a ese grupo con tutoría y actividades específicas, y revisar las respuestas de cada persona antes de la práctica.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Media-alta (depende de cómo se fijen los cortes).</w:t>
            </w:r>
          </w:p>
        </w:tc>
      </w:tr>
    </w:tbl>
    <w:p>
      <w:pPr>
        <w:spacing w:after="80"/>
      </w:pPr>
    </w:p>
    <w:p>
      <w:pPr>
        <w:pStyle w:val="Heading3"/>
      </w:pPr>
      <w:r>
        <w:t>Ficha 9 · Lo que se asocia con sentirse seguro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1797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3_h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9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Qué factores pesan más para sentirse seguro de adaptarse.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La seguridad de poder adaptarse a un puesto se relaciona </w:t>
            </w:r>
            <w:r>
              <w:rPr>
                <w:rFonts w:ascii="Calibri" w:hAnsi="Calibri" w:eastAsia="Calibri"/>
                <w:b/>
                <w:sz w:val="19"/>
              </w:rPr>
              <w:t>moderada a fuertemente</w:t>
            </w:r>
            <w:r>
              <w:rPr>
                <w:rFonts w:ascii="Calibri" w:hAnsi="Calibri" w:eastAsia="Calibri"/>
                <w:sz w:val="19"/>
              </w:rPr>
              <w:t xml:space="preserve"> con conocer las tareas reales, saber aplicar lo aprendido y haber comprobado si el trabajo calza (correlaciones de 0,47 a 0,53). Estos factores juntos explican cerca del </w:t>
            </w:r>
            <w:r>
              <w:rPr>
                <w:rFonts w:ascii="Calibri" w:hAnsi="Calibri" w:eastAsia="Calibri"/>
                <w:b/>
                <w:sz w:val="19"/>
              </w:rPr>
              <w:t>49 %</w:t>
            </w:r>
            <w:r>
              <w:rPr>
                <w:rFonts w:ascii="Calibri" w:hAnsi="Calibri" w:eastAsia="Calibri"/>
                <w:sz w:val="19"/>
              </w:rPr>
              <w:t xml:space="preserve"> de las diferencias. </w:t>
            </w:r>
            <w:r>
              <w:rPr>
                <w:rFonts w:ascii="Calibri" w:hAnsi="Calibri" w:eastAsia="Calibri"/>
                <w:b/>
                <w:sz w:val="19"/>
              </w:rPr>
              <w:t>Haber tenido práctica previa deja de importar</w:t>
            </w:r>
            <w:r>
              <w:rPr>
                <w:rFonts w:ascii="Calibri" w:hAnsi="Calibri" w:eastAsia="Calibri"/>
                <w:sz w:val="19"/>
              </w:rPr>
              <w:t xml:space="preserve"> cuando se consideran esos factores.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Más que «haber tenido una práctica», parece contar </w:t>
            </w:r>
            <w:r>
              <w:rPr>
                <w:rFonts w:ascii="Calibri" w:hAnsi="Calibri" w:eastAsia="Calibri"/>
                <w:b/>
                <w:sz w:val="19"/>
              </w:rPr>
              <w:t>qué se aprendió o vio en ella</w:t>
            </w:r>
            <w:r>
              <w:rPr>
                <w:rFonts w:ascii="Calibri" w:hAnsi="Calibri" w:eastAsia="Calibri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Dos personas que trabajaron un verano: la que preguntó, observó y probó tareas sale más segura que la que solo cumplió horario.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Si esto se confirma, actividades breves y bien diseñadas que muestren el trabajo real podrían dar parte del beneficio a todos, sin esperar la práctica completa.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Media (es una asociación; no prueba causa).</w:t>
            </w:r>
          </w:p>
        </w:tc>
      </w:tr>
    </w:tbl>
    <w:p>
      <w:pPr>
        <w:spacing w:after="80"/>
      </w:pPr>
    </w:p>
    <w:p>
      <w:pPr>
        <w:pStyle w:val="Heading3"/>
      </w:pPr>
      <w:r>
        <w:t>Ficha 10 · Lo que cuentan con sus propias palabras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15261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_abi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2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Temas del aprendizaje más valioso.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De 142 respuestas sobre el aprendizaje más valioso, el tema más repetido es </w:t>
            </w:r>
            <w:r>
              <w:rPr>
                <w:rFonts w:ascii="Calibri" w:hAnsi="Calibri" w:eastAsia="Calibri"/>
                <w:b/>
                <w:sz w:val="19"/>
              </w:rPr>
              <w:t>habilidades blandas</w:t>
            </w:r>
            <w:r>
              <w:rPr>
                <w:rFonts w:ascii="Calibri" w:hAnsi="Calibri" w:eastAsia="Calibri"/>
                <w:sz w:val="19"/>
              </w:rPr>
              <w:t xml:space="preserve"> (32): trabajo en equipo, comunicación, responsabilidad. 15 personas dijeron </w:t>
            </w:r>
            <w:r>
              <w:rPr>
                <w:rFonts w:ascii="Calibri" w:hAnsi="Calibri" w:eastAsia="Calibri"/>
                <w:b/>
                <w:sz w:val="19"/>
              </w:rPr>
              <w:t>no tener un aprendizaje claro</w:t>
            </w:r>
            <w:r>
              <w:rPr>
                <w:rFonts w:ascii="Calibri" w:hAnsi="Calibri" w:eastAsia="Calibri"/>
                <w:sz w:val="19"/>
              </w:rPr>
              <w:t xml:space="preserve"> y 13 de ellas no tienen práctica previa.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Valoran sobre todo lo humano del trabajo; y quien aún no ha tenido contacto con el trabajo real siente que </w:t>
            </w:r>
            <w:r>
              <w:rPr>
                <w:rFonts w:ascii="Calibri" w:hAnsi="Calibri" w:eastAsia="Calibri"/>
                <w:b/>
                <w:sz w:val="19"/>
              </w:rPr>
              <w:t>no tiene experiencia que contar</w:t>
            </w:r>
            <w:r>
              <w:rPr>
                <w:rFonts w:ascii="Calibri" w:hAnsi="Calibri" w:eastAsia="Calibri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la diferencia entre leer sobre cocinar y haber cocinado una vez: quien ya lo hizo tiene una anécdota que contar.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Todo estudiante debería tener, antes de la práctica, al menos una vivencia concreta de trabajo real sobre la cual reflexionar.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Media (clasificación temática preliminar).</w:t>
            </w:r>
          </w:p>
        </w:tc>
      </w:tr>
    </w:tbl>
    <w:p>
      <w:pPr>
        <w:spacing w:after="80"/>
      </w:pPr>
    </w:p>
    <w:p>
      <w:pPr>
        <w:pStyle w:val="Heading3"/>
      </w:pPr>
      <w:r>
        <w:t>Ficha 11 · El apoyo que piden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15528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1_abi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52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Temas del apoyo solicitado.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De 136 respuestas: lo más pedido son </w:t>
            </w:r>
            <w:r>
              <w:rPr>
                <w:rFonts w:ascii="Calibri" w:hAnsi="Calibri" w:eastAsia="Calibri"/>
                <w:b/>
                <w:sz w:val="19"/>
              </w:rPr>
              <w:t>simulaciones y práctica aplicada</w:t>
            </w:r>
            <w:r>
              <w:rPr>
                <w:rFonts w:ascii="Calibri" w:hAnsi="Calibri" w:eastAsia="Calibri"/>
                <w:sz w:val="19"/>
              </w:rPr>
              <w:t xml:space="preserve"> (31), </w:t>
            </w:r>
            <w:r>
              <w:rPr>
                <w:rFonts w:ascii="Calibri" w:hAnsi="Calibri" w:eastAsia="Calibri"/>
                <w:b/>
                <w:sz w:val="19"/>
              </w:rPr>
              <w:t>comunicación y oratoria</w:t>
            </w:r>
            <w:r>
              <w:rPr>
                <w:rFonts w:ascii="Calibri" w:hAnsi="Calibri" w:eastAsia="Calibri"/>
                <w:sz w:val="19"/>
              </w:rPr>
              <w:t xml:space="preserve"> (22), </w:t>
            </w:r>
            <w:r>
              <w:rPr>
                <w:rFonts w:ascii="Calibri" w:hAnsi="Calibri" w:eastAsia="Calibri"/>
                <w:b/>
                <w:sz w:val="19"/>
              </w:rPr>
              <w:t>inglés</w:t>
            </w:r>
            <w:r>
              <w:rPr>
                <w:rFonts w:ascii="Calibri" w:hAnsi="Calibri" w:eastAsia="Calibri"/>
                <w:sz w:val="19"/>
              </w:rPr>
              <w:t xml:space="preserve"> (20), </w:t>
            </w:r>
            <w:r>
              <w:rPr>
                <w:rFonts w:ascii="Calibri" w:hAnsi="Calibri" w:eastAsia="Calibri"/>
                <w:b/>
                <w:sz w:val="19"/>
              </w:rPr>
              <w:t>preparación para la práctica y el empleo</w:t>
            </w:r>
            <w:r>
              <w:rPr>
                <w:rFonts w:ascii="Calibri" w:hAnsi="Calibri" w:eastAsia="Calibri"/>
                <w:sz w:val="19"/>
              </w:rPr>
              <w:t xml:space="preserve"> (19), </w:t>
            </w:r>
            <w:r>
              <w:rPr>
                <w:rFonts w:ascii="Calibri" w:hAnsi="Calibri" w:eastAsia="Calibri"/>
                <w:b/>
                <w:sz w:val="19"/>
              </w:rPr>
              <w:t>software como ERP y Excel</w:t>
            </w:r>
            <w:r>
              <w:rPr>
                <w:rFonts w:ascii="Calibri" w:hAnsi="Calibri" w:eastAsia="Calibri"/>
                <w:sz w:val="19"/>
              </w:rPr>
              <w:t xml:space="preserve"> (19) y </w:t>
            </w:r>
            <w:r>
              <w:rPr>
                <w:rFonts w:ascii="Calibri" w:hAnsi="Calibri" w:eastAsia="Calibri"/>
                <w:b/>
                <w:sz w:val="19"/>
              </w:rPr>
              <w:t>salidas a terreno</w:t>
            </w:r>
            <w:r>
              <w:rPr>
                <w:rFonts w:ascii="Calibri" w:hAnsi="Calibri" w:eastAsia="Calibri"/>
                <w:sz w:val="19"/>
              </w:rPr>
              <w:t xml:space="preserve"> (16).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Piden </w:t>
            </w:r>
            <w:r>
              <w:rPr>
                <w:rFonts w:ascii="Calibri" w:hAnsi="Calibri" w:eastAsia="Calibri"/>
                <w:b/>
                <w:sz w:val="19"/>
              </w:rPr>
              <w:t>práctica antes de la práctica</w:t>
            </w:r>
            <w:r>
              <w:rPr>
                <w:rFonts w:ascii="Calibri" w:hAnsi="Calibri" w:eastAsia="Calibri"/>
                <w:sz w:val="19"/>
              </w:rPr>
              <w:t>: ensayar, ver y usar herramientas reales.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pedir un ensayo general antes del estreno de la obra.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una lista de actividades concretas y bien definidas para diseñar el programa de apoyo (ver Manual de propuestas de mejora).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Alta para el tema; media para el conteo exacto.</w:t>
            </w:r>
          </w:p>
        </w:tc>
      </w:tr>
    </w:tbl>
    <w:p>
      <w:pPr>
        <w:spacing w:after="80"/>
      </w:pPr>
    </w:p>
    <w:p>
      <w:pPr>
        <w:pStyle w:val="Heading3"/>
      </w:pPr>
      <w:r>
        <w:t>Ficha 12 · Lo que todavía no sabemos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15914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0_diseno_futu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9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Qué falta para medir el efecto del programa.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Lo que muestran los datos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Si el programa La Puerta </w:t>
            </w:r>
            <w:r>
              <w:rPr>
                <w:rFonts w:ascii="Calibri" w:hAnsi="Calibri" w:eastAsia="Calibri"/>
                <w:b/>
                <w:sz w:val="19"/>
              </w:rPr>
              <w:t>cambia</w:t>
            </w:r>
            <w:r>
              <w:rPr>
                <w:rFonts w:ascii="Calibri" w:hAnsi="Calibri" w:eastAsia="Calibri"/>
                <w:sz w:val="19"/>
              </w:rPr>
              <w:t xml:space="preserve"> algo. La base no trae el código del estudiante, el momento (antes/después), el grupo (La Puerta/comparación) ni la valoración del programa; tampoco las preguntas A03 y A04 del informe metodológico.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Dicho simple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 xml:space="preserve">Hoy sabemos </w:t>
            </w:r>
            <w:r>
              <w:rPr>
                <w:rFonts w:ascii="Calibri" w:hAnsi="Calibri" w:eastAsia="Calibri"/>
                <w:b/>
                <w:sz w:val="19"/>
              </w:rPr>
              <w:t>cómo están</w:t>
            </w:r>
            <w:r>
              <w:rPr>
                <w:rFonts w:ascii="Calibri" w:hAnsi="Calibri" w:eastAsia="Calibri"/>
                <w:sz w:val="19"/>
              </w:rPr>
              <w:t xml:space="preserve"> los estudiantes, no </w:t>
            </w:r>
            <w:r>
              <w:rPr>
                <w:rFonts w:ascii="Calibri" w:hAnsi="Calibri" w:eastAsia="Calibri"/>
                <w:b/>
                <w:sz w:val="19"/>
              </w:rPr>
              <w:t>si el programa los hizo mejorar</w:t>
            </w:r>
            <w:r>
              <w:rPr>
                <w:rFonts w:ascii="Calibri" w:hAnsi="Calibri" w:eastAsia="Calibri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Un ejemplo de todos los días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Es como tener una foto: se ve cómo está la persona hoy, pero no se sabe si hace un año estaba peor o mejor.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Qué implica para la organización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sz w:val="19"/>
              </w:rPr>
              <w:t>Antes de la próxima aplicación hay que registrar esos cuatro datos. Es barato y es lo que permitirá demostrar el impacto.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Cuánta confianza darle</w:t>
            </w:r>
          </w:p>
        </w:tc>
        <w:tc>
          <w:tcPr>
            <w:tcW w:type="dxa" w:w="698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No aplica: es una limitación.</w:t>
            </w:r>
          </w:p>
        </w:tc>
      </w:tr>
    </w:tbl>
    <w:p>
      <w:pPr>
        <w:spacing w:after="80"/>
      </w:pPr>
    </w:p>
    <w:p>
      <w:pPr>
        <w:pStyle w:val="Heading2"/>
        <w:pBdr>
          <w:left w:val="single" w:sz="28" w:space="8" w:color="FFB800"/>
        </w:pBdr>
      </w:pPr>
      <w:r>
        <w:t>2.3 Qué significa esto para cada persona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803"/>
        <w:gridCol w:w="3776"/>
        <w:gridCol w:w="3776"/>
      </w:tblGrid>
      <w:tr>
        <w:trPr>
          <w:tblHeader w:val="true"/>
        </w:trPr>
        <w:tc>
          <w:tcPr>
            <w:tcW w:type="dxa" w:w="1803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Si usted es…</w:t>
            </w:r>
          </w:p>
        </w:tc>
        <w:tc>
          <w:tcPr>
            <w:tcW w:type="dxa" w:w="377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Lo que conviene que sepa</w:t>
            </w:r>
          </w:p>
        </w:tc>
        <w:tc>
          <w:tcPr>
            <w:tcW w:type="dxa" w:w="377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Lo que puede hacer</w:t>
            </w:r>
          </w:p>
        </w:tc>
      </w:tr>
      <w:tr>
        <w:trPr>
          <w:cantSplit/>
        </w:trPr>
        <w:tc>
          <w:tcPr>
            <w:tcW w:type="dxa" w:w="180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Estudiante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La mayoría de sus compañeros se siente capaz, pero casi nadie tiene una red de contactos. No está solo/a con esa sensación.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Aprovechar charlas, visitas y ferias; hacer preguntas a docentes y profesionales; registrar lo que aprende en cada actividad con empresas.</w:t>
            </w:r>
          </w:p>
        </w:tc>
      </w:tr>
      <w:tr>
        <w:trPr>
          <w:cantSplit/>
        </w:trPr>
        <w:tc>
          <w:tcPr>
            <w:tcW w:type="dxa" w:w="180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Docente</w:t>
            </w:r>
          </w:p>
        </w:tc>
        <w:tc>
          <w:tcPr>
            <w:tcW w:type="dxa" w:w="37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Piden clases más aplicadas, con casos y herramientas reales. Aprecian los casos que cuentan docentes con experiencia en empresas.</w:t>
            </w:r>
          </w:p>
        </w:tc>
        <w:tc>
          <w:tcPr>
            <w:tcW w:type="dxa" w:w="37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Incluir casos reales, invitar a profesionales, usar simulaciones breves; explicar para qué sirve cada herramienta en el trabajo.</w:t>
            </w:r>
          </w:p>
        </w:tc>
      </w:tr>
      <w:tr>
        <w:trPr>
          <w:cantSplit/>
        </w:trPr>
        <w:tc>
          <w:tcPr>
            <w:tcW w:type="dxa" w:w="180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Jefatura de carrera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El 21 % está en semáforo rojo. El tramo de 3.º–4.º semestre merece atención. La práctica previa, por sí sola, no define quién necesita apoyo.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Identificar a quienes están en rojo; planificar salidas, mentorías y talleres; coordinar con empresas socias.</w:t>
            </w:r>
          </w:p>
        </w:tc>
      </w:tr>
      <w:tr>
        <w:trPr>
          <w:cantSplit/>
        </w:trPr>
        <w:tc>
          <w:tcPr>
            <w:tcW w:type="dxa" w:w="180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Dirección de Escuela</w:t>
            </w:r>
          </w:p>
        </w:tc>
        <w:tc>
          <w:tcPr>
            <w:tcW w:type="dxa" w:w="37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Hay una demanda amplia (83 %) de proyectos con empresas, y una brecha clara en redes. La evaluación del programa requiere corregir la medición.</w:t>
            </w:r>
          </w:p>
        </w:tc>
        <w:tc>
          <w:tcPr>
            <w:tcW w:type="dxa" w:w="37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Asegurar recursos para el piloto con medición antes/después; definir responsables; decidir el escalamiento solo con evidencia comparada.</w:t>
            </w:r>
          </w:p>
        </w:tc>
      </w:tr>
      <w:tr>
        <w:trPr>
          <w:cantSplit/>
        </w:trPr>
        <w:tc>
          <w:tcPr>
            <w:tcW w:type="dxa" w:w="180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Empresa socia / tutor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Los estudiantes llegan con buena actitud y quieren vincularse, pero conocen poco el día a día laboral.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Ofrecer visitas, charlas cortas, proyectos acotados y orientación en el primer día de práctica.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2.4 Preguntas frecuentes</w:t>
      </w:r>
    </w:p>
    <w:p>
      <w:pPr>
        <w:pStyle w:val="Heading4"/>
      </w:pPr>
      <w:r>
        <w:t>¿Qué tan confiables son estos resultados?</w:t>
      </w:r>
    </w:p>
    <w:p>
      <w:r>
        <w:rPr>
          <w:rFonts w:ascii="Calibri" w:hAnsi="Calibri" w:eastAsia="Calibri"/>
        </w:rPr>
        <w:t xml:space="preserve">La encuesta es consistente internamente (alfa de Cronbach = 0,93, que es alto) y tiene pocos datos faltantes (2 %). Pero son </w:t>
      </w:r>
      <w:r>
        <w:rPr>
          <w:rFonts w:ascii="Calibri" w:hAnsi="Calibri" w:eastAsia="Calibri"/>
          <w:b/>
        </w:rPr>
        <w:t>opiniones de una sola vez</w:t>
      </w:r>
      <w:r>
        <w:rPr>
          <w:rFonts w:ascii="Calibri" w:hAnsi="Calibri" w:eastAsia="Calibri"/>
        </w:rPr>
        <w:t xml:space="preserve">, de personas que </w:t>
      </w:r>
      <w:r>
        <w:rPr>
          <w:rFonts w:ascii="Calibri" w:hAnsi="Calibri" w:eastAsia="Calibri"/>
          <w:b/>
        </w:rPr>
        <w:t>eligieron responder</w:t>
      </w:r>
      <w:r>
        <w:rPr>
          <w:rFonts w:ascii="Calibri" w:hAnsi="Calibri" w:eastAsia="Calibri"/>
        </w:rPr>
        <w:t>. Son una buena fotografía, no un veredicto.</w:t>
      </w:r>
    </w:p>
    <w:p>
      <w:pPr>
        <w:pStyle w:val="Heading4"/>
      </w:pPr>
      <w:r>
        <w:t>¿Por qué no se puede decir si La Puerta funciona?</w:t>
      </w:r>
    </w:p>
    <w:p>
      <w:r>
        <w:rPr>
          <w:rFonts w:ascii="Calibri" w:hAnsi="Calibri" w:eastAsia="Calibri"/>
        </w:rPr>
        <w:t xml:space="preserve">Porque para saberlo hay que comparar a las mismas personas </w:t>
      </w:r>
      <w:r>
        <w:rPr>
          <w:rFonts w:ascii="Calibri" w:hAnsi="Calibri" w:eastAsia="Calibri"/>
          <w:b/>
        </w:rPr>
        <w:t>antes y después</w:t>
      </w:r>
      <w:r>
        <w:rPr>
          <w:rFonts w:ascii="Calibri" w:hAnsi="Calibri" w:eastAsia="Calibri"/>
        </w:rPr>
        <w:t>, y con un grupo parecido que no participó. En la base esos datos están vacíos. Es corregible.</w:t>
      </w:r>
    </w:p>
    <w:p>
      <w:pPr>
        <w:pStyle w:val="Heading4"/>
      </w:pPr>
      <w:r>
        <w:t>Si la diferencia con práctica previa es tan pequeña, ¿la práctica previa no sirve?</w:t>
      </w:r>
    </w:p>
    <w:p>
      <w:r>
        <w:rPr>
          <w:rFonts w:ascii="Calibri" w:hAnsi="Calibri" w:eastAsia="Calibri"/>
        </w:rPr>
        <w:t xml:space="preserve">Sí sirve, un poco: puntúan 0,17 puntos más. Lo que no se sostiene es que sea una diferencia enorme. Además, lo que parece pesar más es </w:t>
      </w:r>
      <w:r>
        <w:rPr>
          <w:rFonts w:ascii="Calibri" w:hAnsi="Calibri" w:eastAsia="Calibri"/>
          <w:b/>
        </w:rPr>
        <w:t>lo que se aprendió</w:t>
      </w:r>
      <w:r>
        <w:rPr>
          <w:rFonts w:ascii="Calibri" w:hAnsi="Calibri" w:eastAsia="Calibri"/>
        </w:rPr>
        <w:t xml:space="preserve"> en la práctica.</w:t>
      </w:r>
    </w:p>
    <w:p>
      <w:pPr>
        <w:pStyle w:val="Heading4"/>
      </w:pPr>
      <w:r>
        <w:t>¿Por qué algunas diferencias «se ven» pero no son «significativas»?</w:t>
      </w:r>
    </w:p>
    <w:p>
      <w:r>
        <w:rPr>
          <w:rFonts w:ascii="Calibri" w:hAnsi="Calibri" w:eastAsia="Calibri"/>
        </w:rPr>
        <w:t>Porque con grupos pequeños el azar puede producir diferencias aparentes. Para no confundirnos, se usan pruebas que dicen cuán probable es que sea casualidad, y se corrigen cuando se hacen muchas comparaciones.</w:t>
      </w:r>
    </w:p>
    <w:p>
      <w:pPr>
        <w:pStyle w:val="Heading4"/>
      </w:pPr>
      <w:r>
        <w:t>¿El 21 % en rojo son estudiantes «con problemas»?</w:t>
      </w:r>
    </w:p>
    <w:p>
      <w:r>
        <w:rPr>
          <w:rFonts w:ascii="Calibri" w:hAnsi="Calibri" w:eastAsia="Calibri"/>
        </w:rPr>
        <w:t xml:space="preserve">No. Es un grupo cuyo </w:t>
      </w:r>
      <w:r>
        <w:rPr>
          <w:rFonts w:ascii="Calibri" w:hAnsi="Calibri" w:eastAsia="Calibri"/>
          <w:b/>
        </w:rPr>
        <w:t>puntaje autopercibido</w:t>
      </w:r>
      <w:r>
        <w:rPr>
          <w:rFonts w:ascii="Calibri" w:hAnsi="Calibri" w:eastAsia="Calibri"/>
        </w:rPr>
        <w:t xml:space="preserve"> es bajo. Puede deberse a poca experiencia, nervios o simple modestia. Es una señal para acompañar, no una etiqueta.</w:t>
      </w:r>
    </w:p>
    <w:p>
      <w:pPr>
        <w:pStyle w:val="Heading4"/>
      </w:pPr>
      <w:r>
        <w:t>¿Se puede generalizar a toda Duoc UC?</w:t>
      </w:r>
    </w:p>
    <w:p>
      <w:r>
        <w:rPr>
          <w:rFonts w:ascii="Calibri" w:hAnsi="Calibri" w:eastAsia="Calibri"/>
        </w:rPr>
        <w:t>No. El 98 % de las respuestas es de la Escuela de Administración y Negocios y la participación fue voluntaria. Sirve para esta escuela y sede.</w:t>
      </w:r>
    </w:p>
    <w:p>
      <w:pPr>
        <w:pStyle w:val="Heading4"/>
      </w:pPr>
      <w:r>
        <w:t>¿Por qué «No sé / No aplica» no se cuenta?</w:t>
      </w:r>
    </w:p>
    <w:p>
      <w:r>
        <w:rPr>
          <w:rFonts w:ascii="Calibri" w:hAnsi="Calibri" w:eastAsia="Calibri"/>
        </w:rPr>
        <w:t>Porque no es una opinión sobre el tema. Fueron pocas (2 %) y no cambian los resultados.</w:t>
      </w:r>
    </w:p>
    <w:p>
      <w:pPr>
        <w:pStyle w:val="Heading4"/>
      </w:pPr>
      <w:r>
        <w:t>¿Qué hago si un resultado me parece raro?</w:t>
      </w:r>
    </w:p>
    <w:p>
      <w:r>
        <w:rPr>
          <w:rFonts w:ascii="Calibri" w:hAnsi="Calibri" w:eastAsia="Calibri"/>
        </w:rPr>
        <w:t>Revise la ficha y la advertencia de confianza. Si sigue dudando, pida la verificación: el análisis puede repetirse con el código del repositorio.</w:t>
      </w:r>
    </w:p>
    <w:p>
      <w:pPr>
        <w:pStyle w:val="Heading4"/>
      </w:pPr>
      <w:r>
        <w:t>¿Quién clasificó las respuestas abiertas?</w:t>
      </w:r>
    </w:p>
    <w:p>
      <w:r>
        <w:rPr>
          <w:rFonts w:ascii="Calibri" w:hAnsi="Calibri" w:eastAsia="Calibri"/>
        </w:rPr>
        <w:t>Una herramienta de IA, con revisión preliminar. Debe ser validada por una persona; hasta entonces, trate los conteos como aproximados.</w:t>
      </w:r>
    </w:p>
    <w:p>
      <w:pPr>
        <w:pStyle w:val="Heading4"/>
      </w:pPr>
      <w:r>
        <w:t>¿Cuándo deberíamos repetir la encuesta?</w:t>
      </w:r>
    </w:p>
    <w:p>
      <w:r>
        <w:rPr>
          <w:rFonts w:ascii="Calibri" w:hAnsi="Calibri" w:eastAsia="Calibri"/>
        </w:rPr>
        <w:t>Al inicio y al final del semestre en que se aplique La Puerta, con código único, momento y grupo, para medir cambios reales.</w:t>
      </w:r>
    </w:p>
    <w:p>
      <w:pPr>
        <w:pStyle w:val="Heading2"/>
        <w:pBdr>
          <w:left w:val="single" w:sz="28" w:space="8" w:color="FFB800"/>
        </w:pBdr>
      </w:pPr>
      <w:r>
        <w:t>2.5 Glosario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tblHeader w:val="true"/>
        </w:trPr>
        <w:tc>
          <w:tcPr>
            <w:tcW w:type="dxa" w:w="236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98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Qué significa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Alfa de Cronbach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Número entre 0 y 1 que indica si las afirmaciones de una encuesta «van en la misma dirección». Sobre 0,70 es aceptable.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Autoeficacia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Creer que uno es capaz de lograr una tarea. Se fortalece con experiencias de logro.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Autopercepción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Lo que una persona cree de sí misma. No es lo mismo que su desempeño observado.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Brecha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Distancia entre lo observado y lo esperado (por ejemplo, la meta de 70 %).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Correlación (rho, r)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Mide cuánto «van juntas» dos cosas, de −1 a +1. Cerca de 0 = casi nada; 0,3 = moderada; 0,5 = fuerte.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Dimensión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Grupo de afirmaciones que miden una misma idea (por ejemplo, redes).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Diferencia significativa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Diferencia que difícilmente se debe al azar. No significa «importante».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Efecto (tamaño del)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Qué tan grande es una diferencia, independientemente de cuántas personas se midieron.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Escala Likert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Escala de acuerdo/desacuerdo, aquí de 1 a 5.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Estudio transversal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Medición hecha una sola vez, como una fotografía.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Grupo de comparación (control)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Grupo parecido que no participa en la intervención y permite ver qué habría ocurrido sin ella.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Intervalo de confianza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Rango en el que probablemente está el valor real. Equivale al «más o menos».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Línea base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Medición inicial, contra la cual se compara después.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Muestra voluntaria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Grupo que respondió porque quiso; puede ser distinto de quienes no respondieron.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Percentil / mediana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La mediana es el valor central: la mitad está sobre ella y la mitad bajo ella.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Pretest / postest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Medición antes y después de una intervención.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Semáforo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Clasificación en verde, amarillo y rojo según puntajes.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Shock de transición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Dificultad inicial al pasar de estudiar a trabajar.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Valor p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Probabilidad de ver una diferencia así si en realidad no hubiera ninguna. Menor a 0,05 se suele considerar «significativa».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Variable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Cualquier característica que se mide (por ejemplo, año de estudio).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3. CONCLUSIÓN</w:t>
      </w:r>
    </w:p>
    <w:p>
      <w:pPr>
        <w:pStyle w:val="Heading2"/>
        <w:pBdr>
          <w:left w:val="single" w:sz="28" w:space="8" w:color="FFB800"/>
        </w:pBdr>
      </w:pPr>
      <w:r>
        <w:t>3.1 Antes de citar un resultado: lista de verificación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Cinco preguntas antes de usar una cifra en un documento o una reunión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1. ¿Es una opinión o un hecho?</w:t>
            </w:r>
            <w:r>
              <w:rPr>
                <w:rFonts w:ascii="Calibri" w:hAnsi="Calibri" w:eastAsia="Calibri"/>
                <w:sz w:val="20"/>
              </w:rPr>
              <w:t xml:space="preserve"> Casi todo aquí son opiniones de los propios estudiantes.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2. ¿Es una diferencia pequeña o grande?</w:t>
            </w:r>
            <w:r>
              <w:rPr>
                <w:rFonts w:ascii="Calibri" w:hAnsi="Calibri" w:eastAsia="Calibri"/>
                <w:sz w:val="20"/>
              </w:rPr>
              <w:t xml:space="preserve"> Mire el tamaño, no solo si es «significativa».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3. ¿Con quiénes se compara?</w:t>
            </w:r>
            <w:r>
              <w:rPr>
                <w:rFonts w:ascii="Calibri" w:hAnsi="Calibri" w:eastAsia="Calibri"/>
                <w:sz w:val="20"/>
              </w:rPr>
              <w:t xml:space="preserve"> Evite comparar grupos muy distintos en tamaño (por ejemplo, 5 personas).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4. ¿Se está diciendo «causa» donde solo hay «relación»?</w:t>
            </w:r>
            <w:r>
              <w:rPr>
                <w:rFonts w:ascii="Calibri" w:hAnsi="Calibri" w:eastAsia="Calibri"/>
                <w:sz w:val="20"/>
              </w:rPr>
              <w:t xml:space="preserve"> Cuide el verbo: «se asocia con», no «provoca».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5. ¿Se cita la limitación?</w:t>
            </w:r>
            <w:r>
              <w:rPr>
                <w:rFonts w:ascii="Calibri" w:hAnsi="Calibri" w:eastAsia="Calibri"/>
                <w:sz w:val="20"/>
              </w:rPr>
              <w:t xml:space="preserve"> Una sola medición, muestra voluntaria, 98 % de una escuela.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4. REFERENCIAS</w:t>
      </w:r>
    </w:p>
    <w:p>
      <w:r>
        <w:rPr>
          <w:rFonts w:ascii="Calibri" w:hAnsi="Calibri" w:eastAsia="Calibri"/>
          <w:color w:val="666666"/>
          <w:sz w:val="20"/>
        </w:rPr>
        <w:t xml:space="preserve">Referencias en formato APA 7, ordenadas alfabéticamente. Las dos últimas son documentos internos del proyecto. Las referencias académicas fueron seleccionadas por la herramienta de IA a partir de su conocimiento de la literatura y </w:t>
      </w:r>
      <w:r>
        <w:rPr>
          <w:rFonts w:ascii="Calibri" w:hAnsi="Calibri" w:eastAsia="Calibri"/>
          <w:b/>
          <w:color w:val="666666"/>
          <w:sz w:val="20"/>
        </w:rPr>
        <w:t>no se verificaron en línea durante esta sesión</w:t>
      </w:r>
      <w:r>
        <w:rPr>
          <w:rFonts w:ascii="Calibri" w:hAnsi="Calibri" w:eastAsia="Calibri"/>
          <w:color w:val="666666"/>
          <w:sz w:val="20"/>
        </w:rPr>
        <w:t>: conviene confirmar volumen, páginas y DOI antes de una publicación formal.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Braun, V., &amp; Clarke, V. (2006). Using thematic analysis in psychology. </w:t>
      </w:r>
      <w:r>
        <w:rPr>
          <w:rFonts w:ascii="Calibri" w:hAnsi="Calibri"/>
          <w:i/>
          <w:sz w:val="21"/>
        </w:rPr>
        <w:t>Qualitative Research in Psychology, 3</w:t>
      </w:r>
      <w:r>
        <w:rPr>
          <w:rFonts w:ascii="Calibri" w:hAnsi="Calibri"/>
          <w:i w:val="0"/>
          <w:sz w:val="21"/>
        </w:rPr>
        <w:t>(2), 77–101.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Cronbach, L. J. (1951). Coefficient alpha and the internal structure of tests. </w:t>
      </w:r>
      <w:r>
        <w:rPr>
          <w:rFonts w:ascii="Calibri" w:hAnsi="Calibri"/>
          <w:i/>
          <w:sz w:val="21"/>
        </w:rPr>
        <w:t>Psychometrika, 16</w:t>
      </w:r>
      <w:r>
        <w:rPr>
          <w:rFonts w:ascii="Calibri" w:hAnsi="Calibri"/>
          <w:i w:val="0"/>
          <w:sz w:val="21"/>
        </w:rPr>
        <w:t>(3), 297–334.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Norman, G. (2010). Likert scales, levels of measurement and the “laws” of statistics. </w:t>
      </w:r>
      <w:r>
        <w:rPr>
          <w:rFonts w:ascii="Calibri" w:hAnsi="Calibri"/>
          <w:i/>
          <w:sz w:val="21"/>
        </w:rPr>
        <w:t>Advances in Health Sciences Education, 15</w:t>
      </w:r>
      <w:r>
        <w:rPr>
          <w:rFonts w:ascii="Calibri" w:hAnsi="Calibri"/>
          <w:i w:val="0"/>
          <w:sz w:val="21"/>
        </w:rPr>
        <w:t>(5), 625–632.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Sullivan, G. M., &amp; Artino, A. R. (2013). Analyzing and interpreting data from Likert-type scales. </w:t>
      </w:r>
      <w:r>
        <w:rPr>
          <w:rFonts w:ascii="Calibri" w:hAnsi="Calibri"/>
          <w:i/>
          <w:sz w:val="21"/>
        </w:rPr>
        <w:t>Journal of Graduate Medical Education, 5</w:t>
      </w:r>
      <w:r>
        <w:rPr>
          <w:rFonts w:ascii="Calibri" w:hAnsi="Calibri"/>
          <w:i w:val="0"/>
          <w:sz w:val="21"/>
        </w:rPr>
        <w:t>(4), 541–542.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Tomlinson, M. (2017). Forms of graduate capital and their relationship to graduate employability. </w:t>
      </w:r>
      <w:r>
        <w:rPr>
          <w:rFonts w:ascii="Calibri" w:hAnsi="Calibri"/>
          <w:i/>
          <w:sz w:val="21"/>
        </w:rPr>
        <w:t>Education + Training, 59</w:t>
      </w:r>
      <w:r>
        <w:rPr>
          <w:rFonts w:ascii="Calibri" w:hAnsi="Calibri"/>
          <w:i w:val="0"/>
          <w:sz w:val="21"/>
        </w:rPr>
        <w:t>(4), 338–352.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Yorke, M. (2006). </w:t>
      </w:r>
      <w:r>
        <w:rPr>
          <w:rFonts w:ascii="Calibri" w:hAnsi="Calibri"/>
          <w:i/>
          <w:sz w:val="21"/>
        </w:rPr>
        <w:t>Employability in higher education: What it is – what it is not</w:t>
      </w:r>
      <w:r>
        <w:rPr>
          <w:rFonts w:ascii="Calibri" w:hAnsi="Calibri"/>
          <w:i w:val="0"/>
          <w:sz w:val="21"/>
        </w:rPr>
        <w:t>. Higher Education Academy.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Bandura, A. (1997). </w:t>
      </w:r>
      <w:r>
        <w:rPr>
          <w:rFonts w:ascii="Calibri" w:hAnsi="Calibri"/>
          <w:i/>
          <w:sz w:val="21"/>
        </w:rPr>
        <w:t>Self-efficacy: The exercise of control</w:t>
      </w:r>
      <w:r>
        <w:rPr>
          <w:rFonts w:ascii="Calibri" w:hAnsi="Calibri"/>
          <w:i w:val="0"/>
          <w:sz w:val="21"/>
        </w:rPr>
        <w:t>. W. H. Freeman.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Granovetter, M. S. (1973). The strength of weak ties. </w:t>
      </w:r>
      <w:r>
        <w:rPr>
          <w:rFonts w:ascii="Calibri" w:hAnsi="Calibri"/>
          <w:i/>
          <w:sz w:val="21"/>
        </w:rPr>
        <w:t>American Journal of Sociology, 78</w:t>
      </w:r>
      <w:r>
        <w:rPr>
          <w:rFonts w:ascii="Calibri" w:hAnsi="Calibri"/>
          <w:i w:val="0"/>
          <w:sz w:val="21"/>
        </w:rPr>
        <w:t>(6), 1360–1380.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UC, Escuela de Administración y Negocios, Sede San Bernardo (2026). </w:t>
      </w:r>
      <w:r>
        <w:rPr>
          <w:rFonts w:ascii="Calibri" w:hAnsi="Calibri"/>
          <w:i/>
          <w:sz w:val="21"/>
        </w:rPr>
        <w:t>Proyecto La Puerta: Informe metodológico y análisis prospectivo de brechas en habilidades blandas para la práctica profesional</w:t>
      </w:r>
      <w:r>
        <w:rPr>
          <w:rFonts w:ascii="Calibri" w:hAnsi="Calibri"/>
          <w:i w:val="0"/>
          <w:sz w:val="21"/>
        </w:rPr>
        <w:t xml:space="preserve"> [documento interno].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 (2026). </w:t>
      </w:r>
      <w:r>
        <w:rPr>
          <w:rFonts w:ascii="Calibri" w:hAnsi="Calibri"/>
          <w:i/>
          <w:sz w:val="21"/>
        </w:rPr>
        <w:t>Proyecto La Puerta: Base de datos y matriz de análisis (20261009_1658)</w:t>
      </w:r>
      <w:r>
        <w:rPr>
          <w:rFonts w:ascii="Calibri" w:hAnsi="Calibri"/>
          <w:i w:val="0"/>
          <w:sz w:val="21"/>
        </w:rPr>
        <w:t xml:space="preserve"> [base de datos interna, no publicada].</w:t>
      </w:r>
    </w:p>
    <w:p>
      <w:pPr>
        <w:pStyle w:val="Heading1"/>
        <w:pageBreakBefore/>
        <w:pBdr>
          <w:left w:val="single" w:sz="36" w:space="8" w:color="FFB800"/>
        </w:pBdr>
      </w:pPr>
      <w:r>
        <w:t>5. ANEXOS</w:t>
      </w:r>
    </w:p>
    <w:p>
      <w:pPr>
        <w:pStyle w:val="Heading2"/>
        <w:pBdr>
          <w:left w:val="single" w:sz="28" w:space="8" w:color="FFB800"/>
        </w:pBdr>
      </w:pPr>
      <w:r>
        <w:t>5.1 Declaración de uso de IA y fuentes</w:t>
      </w:r>
    </w:p>
    <w:p>
      <w:pPr>
        <w:pStyle w:val="Heading3"/>
      </w:pPr>
      <w:r>
        <w:t>Declaración sobre el uso de Inteligencia Artificial</w:t>
      </w:r>
    </w:p>
    <w:p>
      <w:r>
        <w:rPr>
          <w:rFonts w:ascii="Calibri" w:hAnsi="Calibri" w:eastAsia="Calibri"/>
          <w:sz w:val="21"/>
        </w:rPr>
        <w:t xml:space="preserve">Este documento se elaboró con apoyo de </w:t>
      </w:r>
      <w:r>
        <w:rPr>
          <w:rFonts w:ascii="Calibri" w:hAnsi="Calibri" w:eastAsia="Calibri"/>
          <w:b/>
          <w:sz w:val="21"/>
        </w:rPr>
        <w:t>Claude (Anthropic)</w:t>
      </w:r>
      <w:r>
        <w:rPr>
          <w:rFonts w:ascii="Calibri" w:hAnsi="Calibri" w:eastAsia="Calibri"/>
          <w:sz w:val="21"/>
        </w:rPr>
        <w:t>, un modelo de Inteligencia Artificial generativa, entre octubre de 2026. A continuación se indica con transparencia qué hizo la herramienta y qué debe revisar una persona.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3969"/>
        <w:gridCol w:w="3458"/>
      </w:tblGrid>
      <w:tr>
        <w:trPr>
          <w:tblHeader w:val="true"/>
        </w:trPr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Tarea</w:t>
            </w:r>
          </w:p>
        </w:tc>
        <w:tc>
          <w:tcPr>
            <w:tcW w:type="dxa" w:w="396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hizo la IA</w:t>
            </w:r>
          </w:p>
        </w:tc>
        <w:tc>
          <w:tcPr>
            <w:tcW w:type="dxa" w:w="345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debe revisar o decidir una persona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Datos y cálculos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Limpió la base y calculó promedios, porcentajes, comparaciones y gráficos con código (Python) guardado en la carpeta `src` del repositorio.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los scripts y repetir los cálculos ante cualquier duda. Los resultados son reproducibles.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Tarea específica de este documento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Traducir los resultados técnicos a lenguaje cotidiano, proponer ejemplos y organizar el manual.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Validar que el enfoque y las conclusiones correspondan al propósito del proyecto.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Respuestas abiertas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Las agrupó por temas de forma automática (clasificación preliminar).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Doble lectura humana y libro de códigos antes de citar conteos.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Redacción y diseño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Redactó, organizó y diseñó tablas, gráficos, diagramas e infografías (ilustraciones propias, sin fotografías de personas).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el tono, el contenido y la adecuación institucional (por ejemplo, insertar el logo oficial).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Bibliografía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Seleccionó las referencias a partir de su conocimiento de la literatura y, cuando se indica, de resúmenes encontrados en la web.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Verificar autores, volumen, páginas y DOI en la fuente antes de publicar. Lo no verificado está marcado.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Datos personales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No se incluyeron nombres, correos ni códigos de estudiantes; las citas textuales son anónimas.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Mantener la confidencialidad al difundir.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Responsabilidad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 IA </w:t>
            </w:r>
            <w:r>
              <w:rPr>
                <w:rFonts w:ascii="Calibri" w:hAnsi="Calibri" w:eastAsia="Calibri"/>
                <w:b/>
                <w:sz w:val="20"/>
              </w:rPr>
              <w:t>no reemplaza el juicio experto</w:t>
            </w:r>
            <w:r>
              <w:rPr>
                <w:rFonts w:ascii="Calibri" w:hAnsi="Calibri" w:eastAsia="Calibri"/>
                <w:sz w:val="20"/>
              </w:rPr>
              <w:t xml:space="preserve"> ni asume responsabilidad por las decisiones. Las interpretaciones y recomendaciones deben ser revisadas y asumidas por el equipo responsable del Proyecto La Puerta antes de su difusión institucional.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Si algún dato de este documento no coincide con las fuentes, prevalecen las fuentes originales.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right"/>
    </w:pPr>
    <w:r>
      <w:rPr>
        <w:rFonts w:ascii="Calibri" w:hAnsi="Calibri" w:eastAsia="Calibri"/>
        <w:color w:val="666666"/>
        <w:sz w:val="18"/>
      </w:rPr>
      <w:t xml:space="preserve">Duoc UC · Proyecto La Puerta · Página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 w:eastAsia="Calibri"/>
        <w:color w:val="666666"/>
        <w:sz w:val="18"/>
      </w:rPr>
      <w:t>Proyecto La Puerta · Manual explicativo de resultados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40" w:line="276" w:lineRule="auto"/>
      <w:jc w:val="left"/>
      <w:outlineLvl w:val="0"/>
    </w:pPr>
    <w:rPr>
      <w:rFonts w:ascii="Calibri" w:hAnsi="Calibri" w:eastAsia="Calibri" w:cs="Calibri"/>
      <w:b/>
      <w:bCs/>
      <w:i w:val="0"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40" w:line="276" w:lineRule="auto"/>
      <w:jc w:val="left"/>
      <w:outlineLvl w:val="1"/>
    </w:pPr>
    <w:rPr>
      <w:rFonts w:ascii="Calibri" w:hAnsi="Calibri" w:eastAsia="Calibri" w:cs="Calibri"/>
      <w:b/>
      <w:bCs/>
      <w:i w:val="0"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40" w:line="276" w:lineRule="auto"/>
      <w:jc w:val="left"/>
      <w:outlineLvl w:val="2"/>
    </w:pPr>
    <w:rPr>
      <w:rFonts w:ascii="Calibri" w:hAnsi="Calibri" w:eastAsia="Calibri" w:cs="Calibri"/>
      <w:b/>
      <w:bCs/>
      <w:i w:val="0"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240" w:line="276" w:lineRule="auto"/>
      <w:jc w:val="left"/>
      <w:outlineLvl w:val="3"/>
    </w:pPr>
    <w:rPr>
      <w:rFonts w:ascii="Calibri" w:hAnsi="Calibri" w:eastAsia="Calibri" w:cs="Calibri"/>
      <w:b/>
      <w:bCs/>
      <w:i w:val="0"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