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1814" w:hRule="exact"/>
        </w:trPr>
        <w:tc>
          <w:tcPr>
            <w:tcW w:type="dxa" w:w="9354"/>
          </w:tcPr>
          <w:p>
            <w:pPr>
              <w:spacing w:after="0"/>
            </w:pPr>
          </w:p>
          <w:tbl>
            <w:tblPr>
              <w:tblW w:type="dxa" w:w="2948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48"/>
            </w:tblGrid>
            <w:tr>
              <w:tc>
                <w:tcPr>
                  <w:tcW w:type="dxa" w:w="2948"/>
                  <w:tcBorders>
                    <w:top w:val="single" w:sz="6" w:color="999999"/>
                    <w:left w:val="single" w:sz="6" w:color="999999"/>
                    <w:bottom w:val="single" w:sz="6" w:color="999999"/>
                    <w:right w:val="single" w:sz="6" w:color="999999"/>
                  </w:tcBorders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Calibri" w:hAnsi="Calibri" w:eastAsia="Calibri"/>
                      <w:color w:val="666666"/>
                      <w:sz w:val="18"/>
                    </w:rPr>
                    <w:t>[Insertar logo Duoc UC]</w:t>
                  </w:r>
                </w:p>
              </w:tc>
            </w:tr>
          </w:tbl>
          <w:p/>
        </w:tc>
      </w:tr>
      <w:tr>
        <w:trPr>
          <w:trHeight w:val="6010" w:hRule="exact"/>
        </w:trPr>
        <w:tc>
          <w:tcPr>
            <w:tcW w:type="dxa" w:w="9354"/>
            <w:vAlign w:val="center"/>
          </w:tcPr>
          <w:p>
            <w:pPr>
              <w:pBdr>
                <w:bottom w:val="single" w:sz="24" w:space="10" w:color="FFB800"/>
              </w:pBdr>
              <w:spacing w:after="200" w:line="276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8"/>
              </w:rPr>
              <w:t>PROYECTO LA PUERTA: ESTUDIO PARALELO DE INVESTIGACIÓN</w:t>
            </w:r>
          </w:p>
          <w:p>
            <w:pPr>
              <w:spacing w:before="200" w:line="276" w:lineRule="auto"/>
              <w:jc w:val="center"/>
            </w:pPr>
            <w:r>
              <w:rPr>
                <w:rFonts w:ascii="Calibri" w:hAnsi="Calibri" w:eastAsia="Calibri"/>
                <w:color w:val="666666"/>
                <w:sz w:val="24"/>
              </w:rPr>
              <w:t>Lo que dicen otros estudios, qué significa para La Puerta y qué hacer</w:t>
            </w:r>
          </w:p>
        </w:tc>
      </w:tr>
      <w:tr>
        <w:trPr>
          <w:trHeight w:val="4876" w:hRule="exact"/>
        </w:trPr>
        <w:tc>
          <w:tcPr>
            <w:tcW w:type="dxa" w:w="9354"/>
            <w:vAlign w:val="bottom"/>
          </w:tcPr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Autor y docente responsable: Juan Antonio Carrasco Navarrete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Escuela de Administración y Negocios · Sede San Bernardo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Proyecto La Puerta · Producto I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Octubre de 2026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Elaborado con apoyo de herramientas de Inteligencia Artificial (véase Anexos)</w:t>
            </w:r>
          </w:p>
        </w:tc>
      </w:tr>
    </w:tbl>
    <w:p>
      <w:pPr>
        <w:pStyle w:val="Heading1"/>
        <w:pageBreakBefore/>
        <w:pBdr>
          <w:left w:val="single" w:sz="36" w:space="8" w:color="FFB800"/>
        </w:pBdr>
      </w:pPr>
      <w:r>
        <w:t>Índice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1. INTRODUCCIÓN</w:t>
      </w:r>
      <w:r>
        <w:rPr>
          <w:rFonts w:ascii="Calibri" w:hAnsi="Calibri" w:eastAsia="Calibri"/>
          <w:b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1.1 Tema, contexto y objetivos</w:t>
      </w:r>
      <w:r>
        <w:rPr>
          <w:rFonts w:ascii="Calibri" w:hAnsi="Calibri" w:eastAsia="Calibri"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1.2 Las ideas principales, en pocas palabras</w:t>
      </w:r>
      <w:r>
        <w:rPr>
          <w:rFonts w:ascii="Calibri" w:hAnsi="Calibri" w:eastAsia="Calibri"/>
          <w:color w:val="1A1A1A"/>
          <w:sz w:val="22"/>
        </w:rPr>
        <w:tab/>
        <w:t>4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2. DESARROLLO</w:t>
      </w:r>
      <w:r>
        <w:rPr>
          <w:rFonts w:ascii="Calibri" w:hAnsi="Calibri" w:eastAsia="Calibri"/>
          <w:b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2.1 Cómo lo hicimos</w:t>
      </w:r>
      <w:r>
        <w:rPr>
          <w:rFonts w:ascii="Calibri" w:hAnsi="Calibri" w:eastAsia="Calibri"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2.2 Comparación 1: ¿ayuda haber hecho una práctica antes?</w:t>
      </w:r>
      <w:r>
        <w:rPr>
          <w:rFonts w:ascii="Calibri" w:hAnsi="Calibri" w:eastAsia="Calibri"/>
          <w:color w:val="1A1A1A"/>
          <w:sz w:val="22"/>
        </w:rPr>
        <w:tab/>
        <w:t>6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2.3 Comparación 2: ¿qué pesa más: haber estado en una práctica o lo que se vivió allí?</w:t>
      </w:r>
      <w:r>
        <w:rPr>
          <w:rFonts w:ascii="Calibri" w:hAnsi="Calibri" w:eastAsia="Calibri"/>
          <w:color w:val="1A1A1A"/>
          <w:sz w:val="22"/>
        </w:rPr>
        <w:tab/>
        <w:t>6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2.4 Comparación 3: ¿importan los contactos?</w:t>
      </w:r>
      <w:r>
        <w:rPr>
          <w:rFonts w:ascii="Calibri" w:hAnsi="Calibri" w:eastAsia="Calibri"/>
          <w:color w:val="1A1A1A"/>
          <w:sz w:val="22"/>
        </w:rPr>
        <w:tab/>
        <w:t>7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2.5 Comparación 4: ¿sirven las simulaciones y los proyectos aunque no sean una práctica real?</w:t>
      </w:r>
      <w:r>
        <w:rPr>
          <w:rFonts w:ascii="Calibri" w:hAnsi="Calibri" w:eastAsia="Calibri"/>
          <w:color w:val="1A1A1A"/>
          <w:sz w:val="22"/>
        </w:rPr>
        <w:tab/>
        <w:t>7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2.6 Comparación 5: ¿cuánto podemos creerle a lo que los estudiantes dicen de sí mismos?</w:t>
      </w:r>
      <w:r>
        <w:rPr>
          <w:rFonts w:ascii="Calibri" w:hAnsi="Calibri" w:eastAsia="Calibri"/>
          <w:color w:val="1A1A1A"/>
          <w:sz w:val="22"/>
        </w:rPr>
        <w:tab/>
        <w:t>8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2.7 Mapa de coincidencias y diferencias</w:t>
      </w:r>
      <w:r>
        <w:rPr>
          <w:rFonts w:ascii="Calibri" w:hAnsi="Calibri" w:eastAsia="Calibri"/>
          <w:color w:val="1A1A1A"/>
          <w:sz w:val="22"/>
        </w:rPr>
        <w:tab/>
        <w:t>8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2.8 Qué consecuencias tiene</w:t>
      </w:r>
      <w:r>
        <w:rPr>
          <w:rFonts w:ascii="Calibri" w:hAnsi="Calibri" w:eastAsia="Calibri"/>
          <w:color w:val="1A1A1A"/>
          <w:sz w:val="22"/>
        </w:rPr>
        <w:tab/>
        <w:t>8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2.9 Qué hacer: acciones en 30 días, 90 días y un año</w:t>
      </w:r>
      <w:r>
        <w:rPr>
          <w:rFonts w:ascii="Calibri" w:hAnsi="Calibri" w:eastAsia="Calibri"/>
          <w:color w:val="1A1A1A"/>
          <w:sz w:val="22"/>
        </w:rPr>
        <w:tab/>
        <w:t>9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3. CONCLUSIÓN</w:t>
      </w:r>
      <w:r>
        <w:rPr>
          <w:rFonts w:ascii="Calibri" w:hAnsi="Calibri" w:eastAsia="Calibri"/>
          <w:b/>
          <w:color w:val="1A1A1A"/>
          <w:sz w:val="22"/>
        </w:rPr>
        <w:tab/>
        <w:t>11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3.1 Lo aprendido</w:t>
      </w:r>
      <w:r>
        <w:rPr>
          <w:rFonts w:ascii="Calibri" w:hAnsi="Calibri" w:eastAsia="Calibri"/>
          <w:color w:val="1A1A1A"/>
          <w:sz w:val="22"/>
        </w:rPr>
        <w:tab/>
        <w:t>11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3.2 Lo que todavía hay que revisar</w:t>
      </w:r>
      <w:r>
        <w:rPr>
          <w:rFonts w:ascii="Calibri" w:hAnsi="Calibri" w:eastAsia="Calibri"/>
          <w:color w:val="1A1A1A"/>
          <w:sz w:val="22"/>
        </w:rPr>
        <w:tab/>
        <w:t>11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4. REFERENCIAS</w:t>
      </w:r>
      <w:r>
        <w:rPr>
          <w:rFonts w:ascii="Calibri" w:hAnsi="Calibri" w:eastAsia="Calibri"/>
          <w:b/>
          <w:color w:val="1A1A1A"/>
          <w:sz w:val="22"/>
        </w:rPr>
        <w:tab/>
        <w:t>12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5. ANEXOS</w:t>
      </w:r>
      <w:r>
        <w:rPr>
          <w:rFonts w:ascii="Calibri" w:hAnsi="Calibri" w:eastAsia="Calibri"/>
          <w:b/>
          <w:color w:val="1A1A1A"/>
          <w:sz w:val="22"/>
        </w:rPr>
        <w:tab/>
        <w:t>13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5.1 Búsquedas realizadas</w:t>
      </w:r>
      <w:r>
        <w:rPr>
          <w:rFonts w:ascii="Calibri" w:hAnsi="Calibri" w:eastAsia="Calibri"/>
          <w:color w:val="1A1A1A"/>
          <w:sz w:val="22"/>
        </w:rPr>
        <w:tab/>
        <w:t>13</w:t>
      </w:r>
    </w:p>
    <w:p>
      <w:pPr>
        <w:pStyle w:val="Heading1"/>
        <w:pageBreakBefore/>
        <w:pBdr>
          <w:left w:val="single" w:sz="36" w:space="8" w:color="FFB800"/>
        </w:pBdr>
      </w:pPr>
      <w:r>
        <w:t>1. INTRODUCCIÓN</w:t>
      </w:r>
    </w:p>
    <w:p>
      <w:pPr>
        <w:pStyle w:val="Heading2"/>
        <w:pBdr>
          <w:left w:val="single" w:sz="28" w:space="8" w:color="FFB800"/>
        </w:pBdr>
      </w:pPr>
      <w:r>
        <w:t>1.1 Tema, contexto y objetivos</w:t>
      </w:r>
    </w:p>
    <w:p>
      <w:pPr>
        <w:pStyle w:val="Heading3"/>
      </w:pPr>
      <w:r>
        <w:t>Tema</w:t>
      </w:r>
    </w:p>
    <w:p>
      <w:r>
        <w:rPr>
          <w:rFonts w:ascii="Calibri" w:hAnsi="Calibri" w:eastAsia="Calibri"/>
        </w:rPr>
        <w:t>Comparar lo que encontramos en la encuesta de La Puerta con lo que otros estudios han descubierto sobre la práctica laboral, las redes de contactos y la confianza de los estudiantes, y explicar qué significa y qué conviene hacer.</w:t>
      </w:r>
    </w:p>
    <w:p>
      <w:pPr>
        <w:pStyle w:val="Heading3"/>
      </w:pPr>
      <w:r>
        <w:t>Contexto</w:t>
      </w:r>
    </w:p>
    <w:p>
      <w:r>
        <w:rPr>
          <w:rFonts w:ascii="Calibri" w:hAnsi="Calibri" w:eastAsia="Calibri"/>
        </w:rPr>
        <w:t xml:space="preserve">La encuesta de octubre de 2026 mostró que los estudiantes de Duoc UC San Bernardo se sienten bastante preparados, pero casi no tienen contactos laborales y conocen poco el trabajo real. Antes de decidir acciones, conviene preguntarse: ¿esto que vemos aquí también lo ven otros estudios en otros lugares? A eso le llamamos un </w:t>
      </w:r>
      <w:r>
        <w:rPr>
          <w:rFonts w:ascii="Calibri" w:hAnsi="Calibri" w:eastAsia="Calibri"/>
          <w:b/>
        </w:rPr>
        <w:t>estudio paralelo</w:t>
      </w:r>
      <w:r>
        <w:rPr>
          <w:rFonts w:ascii="Calibri" w:hAnsi="Calibri" w:eastAsia="Calibri"/>
        </w:rPr>
        <w:t>: mirar en paralelo lo nuestro y lo que se sabe afuera.</w:t>
      </w:r>
    </w:p>
    <w:p>
      <w:pPr>
        <w:pStyle w:val="Heading3"/>
      </w:pPr>
      <w:r>
        <w:t>Objetivos</w:t>
      </w:r>
    </w:p>
    <w:p>
      <w:r>
        <w:rPr>
          <w:rFonts w:ascii="Calibri" w:hAnsi="Calibri" w:eastAsia="Calibri"/>
          <w:b/>
        </w:rPr>
        <w:t>Objetivo general.</w:t>
      </w:r>
      <w:r>
        <w:rPr>
          <w:rFonts w:ascii="Calibri" w:hAnsi="Calibri" w:eastAsia="Calibri"/>
        </w:rPr>
        <w:t xml:space="preserve"> Contrastar los hallazgos de La Puerta con la investigación disponible, para saber qué está respaldado, qué hay que matizar y qué todavía no sabemos, y proponer acciones concretas.</w:t>
      </w:r>
    </w:p>
    <w:p>
      <w:pPr>
        <w:spacing w:after="40"/>
      </w:pPr>
      <w:r>
        <w:rPr>
          <w:rFonts w:ascii="Calibri" w:hAnsi="Calibri" w:eastAsia="Calibri"/>
          <w:b/>
        </w:rPr>
        <w:t>Objetivos específicos: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Explicar con palabras simples qué es un estudio paralelo y cómo lo hicimos.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Comparar cinco hallazgos de La Puerta con lo que dicen otros estudios.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Describir las consecuencias de actuar, de no actuar y de actuar mal.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Proponer acciones para 30 días, 90 días y un año.</w:t>
      </w:r>
    </w:p>
    <w:p>
      <w:pPr>
        <w:pStyle w:val="Heading3"/>
      </w:pPr>
      <w:r>
        <w:t>Organización del texto</w:t>
      </w:r>
    </w:p>
    <w:p>
      <w:r>
        <w:rPr>
          <w:rFonts w:ascii="Calibri" w:hAnsi="Calibri" w:eastAsia="Calibri"/>
        </w:rPr>
        <w:t>El texto tiene cinco partes: la Introducción (qué es un estudio paralelo y las ideas principales); el Desarrollo (cómo lo hicimos, las cinco comparaciones, las consecuencias y las acciones); la Conclusión (lo aprendido y lo que falta revisar); las Referencias; y los Anexos (las búsquedas realizadas y la declaración de uso de Inteligencia Artificial).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Uso de Inteligencia Artificial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Este documento se elaboró con apoyo de IA (Claude, Anthropic). En los Anexos se detalla qué hizo la herramienta y qué debe revisar una persona, y en las Referencias se indica qué fuentes están verificadas.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1.2 Las ideas principales, en pocas palabras</w:t>
      </w:r>
    </w:p>
    <w:tbl>
      <w:tblPr>
        <w:tblW w:type="dxa" w:w="935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5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comparaciones entre</w:t>
              <w:br/>
              <w:t>nuestros datos y la investigación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4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coinciden o casi</w:t>
              <w:br/>
              <w:t>coinciden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1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mismo límite:</w:t>
              <w:br/>
              <w:t>solo medimos lo que se cree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0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estudios chilenos</w:t>
              <w:br/>
              <w:t>comparables revisados a fondo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1.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Lo que vimos en Duoc no es raro.</w:t>
      </w:r>
      <w:r>
        <w:rPr>
          <w:rFonts w:ascii="Calibri" w:hAnsi="Calibri" w:eastAsia="Calibri"/>
        </w:rPr>
        <w:t xml:space="preserve"> Otros estudios encuentran algo parecido: la experiencia de trabajo ayuda, </w:t>
      </w:r>
      <w:r>
        <w:rPr>
          <w:rFonts w:ascii="Calibri" w:hAnsi="Calibri" w:eastAsia="Calibri"/>
          <w:b/>
        </w:rPr>
        <w:t>pero lo que más pesa es qué tan buena fue esa experiencia</w:t>
      </w:r>
      <w:r>
        <w:rPr>
          <w:rFonts w:ascii="Calibri" w:hAnsi="Calibri" w:eastAsia="Calibri"/>
        </w:rPr>
        <w:t>, no solo haberla tenido.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2.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Los contactos importan.</w:t>
      </w:r>
      <w:r>
        <w:rPr>
          <w:rFonts w:ascii="Calibri" w:hAnsi="Calibri" w:eastAsia="Calibri"/>
        </w:rPr>
        <w:t xml:space="preserve"> Estudiantes que se mueven y conocen gente tienen más información y más recursos, y por eso se sienten más empleables. En Duoc, solo 4 de cada 10 dicen tener esos contactos.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3.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Las simulaciones y proyectos con empresas sirven.</w:t>
      </w:r>
      <w:r>
        <w:rPr>
          <w:rFonts w:ascii="Calibri" w:hAnsi="Calibri" w:eastAsia="Calibri"/>
        </w:rPr>
        <w:t xml:space="preserve"> En un estudio, un proyecto real simulado subió la confianza de los estudiantes tanto como una práctica. Es justo lo que nuestros estudiantes piden.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4.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Casi todos los estudios, incluido el nuestro, miden lo que la gente *cree* de sí misma.</w:t>
      </w:r>
      <w:r>
        <w:rPr>
          <w:rFonts w:ascii="Calibri" w:hAnsi="Calibri" w:eastAsia="Calibri"/>
        </w:rPr>
        <w:t xml:space="preserve"> Falta medir si realmente trabajan mejor. Es el límite que más se repite.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5.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No encontramos estudios chilenos comparables que podamos citar con seguridad.</w:t>
      </w:r>
      <w:r>
        <w:rPr>
          <w:rFonts w:ascii="Calibri" w:hAnsi="Calibri" w:eastAsia="Calibri"/>
        </w:rPr>
        <w:t xml:space="preserve"> Hay que seguir buscando antes de hacer afirmaciones sobre Chile.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Cómo leer este estudio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Esto no es una prueba de que las acciones propuestas vayan a funcionar en Duoc. Es una </w:t>
            </w:r>
            <w:r>
              <w:rPr>
                <w:rFonts w:ascii="Calibri" w:hAnsi="Calibri" w:eastAsia="Calibri"/>
                <w:b/>
                <w:sz w:val="20"/>
              </w:rPr>
              <w:t>guía</w:t>
            </w:r>
            <w:r>
              <w:rPr>
                <w:rFonts w:ascii="Calibri" w:hAnsi="Calibri" w:eastAsia="Calibri"/>
                <w:sz w:val="20"/>
              </w:rPr>
              <w:t>: muestra que nuestras ideas tienen respaldo en otros lugares y dónde hay que tener cuidado.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2. DESARROLLO</w:t>
      </w:r>
    </w:p>
    <w:p>
      <w:pPr>
        <w:pStyle w:val="Heading2"/>
        <w:pBdr>
          <w:left w:val="single" w:sz="28" w:space="8" w:color="FFB800"/>
        </w:pBdr>
      </w:pPr>
      <w:r>
        <w:t>2.1 Cómo lo hicimos</w:t>
      </w:r>
    </w:p>
    <w:p>
      <w:r>
        <w:rPr>
          <w:rFonts w:ascii="Calibri" w:hAnsi="Calibri" w:eastAsia="Calibri"/>
        </w:rPr>
        <w:t>Buscamos en internet (octubre de 2026) estudios que respondieran las preguntas que nos dejó la encuesta: ¿ayuda haber hecho una práctica antes?, ¿qué pesa más, haber estado o lo que se aprendió?, ¿importan los contactos?, ¿sirven las simulaciones?, ¿qué tan seguros podemos estar de lo que miden los estudios?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Lo que pudimos y no pudimos hacer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Pudimos:</w:t>
            </w:r>
            <w:r>
              <w:rPr>
                <w:rFonts w:ascii="Calibri" w:hAnsi="Calibri" w:eastAsia="Calibri"/>
                <w:sz w:val="20"/>
              </w:rPr>
              <w:t xml:space="preserve"> revisar los resúmenes de cinco estudios de otros países (más una revisión sobre pasantías técnicas, que no pudimos confirmar) y comparar sus resultados con los nuestros.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No pudimos:</w:t>
            </w:r>
            <w:r>
              <w:rPr>
                <w:rFonts w:ascii="Calibri" w:hAnsi="Calibri" w:eastAsia="Calibri"/>
                <w:sz w:val="20"/>
              </w:rPr>
              <w:t xml:space="preserve"> abrir los textos completos (la conexión del entorno lo impidió) ni consultar bases académicas formales. Los datos de cada estudio salen </w:t>
            </w:r>
            <w:r>
              <w:rPr>
                <w:rFonts w:ascii="Calibri" w:hAnsi="Calibri" w:eastAsia="Calibri"/>
                <w:b/>
                <w:sz w:val="20"/>
              </w:rPr>
              <w:t>de sus resúmenes</w:t>
            </w:r>
            <w:r>
              <w:rPr>
                <w:rFonts w:ascii="Calibri" w:hAnsi="Calibri" w:eastAsia="Calibri"/>
                <w:sz w:val="20"/>
              </w:rPr>
              <w:t xml:space="preserve"> y algunos datos de la cita (volumen, páginas) están </w:t>
            </w:r>
            <w:r>
              <w:rPr>
                <w:rFonts w:ascii="Calibri" w:hAnsi="Calibri" w:eastAsia="Calibri"/>
                <w:b/>
                <w:sz w:val="20"/>
              </w:rPr>
              <w:t>por confirmar</w:t>
            </w:r>
            <w:r>
              <w:rPr>
                <w:rFonts w:ascii="Calibri" w:hAnsi="Calibri" w:eastAsia="Calibri"/>
                <w:sz w:val="20"/>
              </w:rPr>
              <w:t>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Además:</w:t>
            </w:r>
            <w:r>
              <w:rPr>
                <w:rFonts w:ascii="Calibri" w:hAnsi="Calibri" w:eastAsia="Calibri"/>
                <w:sz w:val="20"/>
              </w:rPr>
              <w:t xml:space="preserve"> casi todos los estudios son de otros países y de otras carreras (negocios, ingeniería, hotelería, enseñanza media). Por eso sirven de guía, no de prueba.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</w:rPr>
        <w:t xml:space="preserve">Para cada comparación usamos la misma ficha: qué vimos en La Puerta, qué dice la investigación, si coincide y qué significa. Marcamos el resultado con tres etiquetas: </w:t>
      </w:r>
      <w:r>
        <w:rPr>
          <w:rFonts w:ascii="Calibri" w:hAnsi="Calibri" w:eastAsia="Calibri"/>
          <w:b/>
        </w:rPr>
        <w:t>COINCIDE</w:t>
      </w:r>
      <w:r>
        <w:rPr>
          <w:rFonts w:ascii="Calibri" w:hAnsi="Calibri" w:eastAsia="Calibri"/>
        </w:rPr>
        <w:t xml:space="preserve"> (la investigación va en la misma dirección), </w:t>
      </w:r>
      <w:r>
        <w:rPr>
          <w:rFonts w:ascii="Calibri" w:hAnsi="Calibri" w:eastAsia="Calibri"/>
          <w:b/>
        </w:rPr>
        <w:t>MATIZA</w:t>
      </w:r>
      <w:r>
        <w:rPr>
          <w:rFonts w:ascii="Calibri" w:hAnsi="Calibri" w:eastAsia="Calibri"/>
        </w:rPr>
        <w:t xml:space="preserve"> (va en la misma dirección, pero con una diferencia importante) y </w:t>
      </w:r>
      <w:r>
        <w:rPr>
          <w:rFonts w:ascii="Calibri" w:hAnsi="Calibri" w:eastAsia="Calibri"/>
          <w:b/>
        </w:rPr>
        <w:t>MISMO LÍMITE</w:t>
      </w:r>
      <w:r>
        <w:rPr>
          <w:rFonts w:ascii="Calibri" w:hAnsi="Calibri" w:eastAsia="Calibri"/>
        </w:rPr>
        <w:t xml:space="preserve"> (ambos tienen la misma debilidad).</w:t>
      </w:r>
    </w:p>
    <w:p>
      <w:pPr>
        <w:pStyle w:val="Heading2"/>
        <w:pBdr>
          <w:left w:val="single" w:sz="28" w:space="8" w:color="FFB800"/>
        </w:pBdr>
      </w:pPr>
      <w:r>
        <w:t>2.2 Comparación 1: ¿ayuda haber hecho una práctica antes?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vimos en La Puerta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Quienes ya hicieron una práctica se sienten algo más preparados (3,97 contra 3,80 de 5), pero la diferencia es </w:t>
            </w:r>
            <w:r>
              <w:rPr>
                <w:rFonts w:ascii="Calibri" w:hAnsi="Calibri" w:eastAsia="Calibri"/>
                <w:b/>
                <w:sz w:val="20"/>
              </w:rPr>
              <w:t>pequeña</w:t>
            </w:r>
            <w:r>
              <w:rPr>
                <w:rFonts w:ascii="Calibri" w:hAnsi="Calibri" w:eastAsia="Calibri"/>
                <w:sz w:val="20"/>
              </w:rPr>
              <w:t>. Entre quienes no la tienen hay más estudiantes con puntaje bajo (25 % contra 14 %).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dice la investigación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Un estudio con 173 estudiantes de hotelería en China (Ocampo y otros, 2020) siguió a los alumnos cinco veces: quienes hicieron una pasantía fueron ganando confianza y capacidad de adaptarse; quienes no, casi no cambiaron. Otro estudio con más de 76 mil egresados de Australia (Jackson y Dean, 2023) encontró que las prácticas en empresas son lo que más se asocia con sentirse preparado para trabajar.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Resultado</w:t>
            </w:r>
          </w:p>
        </w:tc>
        <w:tc>
          <w:tcPr>
            <w:tcW w:type="dxa" w:w="6973"/>
            <w:shd w:val="clear" w:color="auto" w:fill="FFB8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COINCIDE EN LA DIRECCIÓN, PERO MATIZA EL TAMAÑO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Qué significa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Todo apunta a que la práctica ayuda, igual que aquí. Pero los estudios que la muestran fuerte siguen a los mismos estudiantes en el tiempo; nosotros solo vemos una foto. Con nuestros datos, la ventaja es modesta. No es un motivo para tratar distinto a quien no ha practicado.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2.3 Comparación 2: ¿qué pesa más: haber estado en una práctica o lo que se vivió allí?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vimos en La Puerta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Lo que más acompaña a la seguridad de adaptarse es </w:t>
            </w:r>
            <w:r>
              <w:rPr>
                <w:rFonts w:ascii="Calibri" w:hAnsi="Calibri" w:eastAsia="Calibri"/>
                <w:b/>
                <w:sz w:val="20"/>
              </w:rPr>
              <w:t>conocer las tareas reales, saber aplicar lo aprendido y haber comprobado si el trabajo calza con uno</w:t>
            </w:r>
            <w:r>
              <w:rPr>
                <w:rFonts w:ascii="Calibri" w:hAnsi="Calibri" w:eastAsia="Calibri"/>
                <w:sz w:val="20"/>
              </w:rPr>
              <w:t>. Estas tres cosas explican cerca de la mitad de las diferencias. Haber hecho una práctica antes deja de importar cuando se tienen en cuenta.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dice la investigación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Un estudio con 346 estudiantes de enseñanza media técnica en Portugal (Gamboa y otros, 2013) midió seis rasgos de una práctica: autonomía, retroalimentación de colegas, apoyo social, oportunidades de aprender, formación y apoyo del supervisor. Casi todos predijeron cuánto exploraron su futura carrera los estudiantes, es decir, </w:t>
            </w:r>
            <w:r>
              <w:rPr>
                <w:rFonts w:ascii="Calibri" w:hAnsi="Calibri" w:eastAsia="Calibri"/>
                <w:b/>
                <w:sz w:val="20"/>
              </w:rPr>
              <w:t>la calidad de la práctica importó</w:t>
            </w:r>
            <w:r>
              <w:rPr>
                <w:rFonts w:ascii="Calibri" w:hAnsi="Calibri" w:eastAsia="Calibri"/>
                <w:sz w:val="20"/>
              </w:rPr>
              <w:t>. El estudio de Ocampo y otros (2020) también encontró que cómo partían los estudiantes influyó en cómo evolucionaron.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Resultado</w:t>
            </w:r>
          </w:p>
        </w:tc>
        <w:tc>
          <w:tcPr>
            <w:tcW w:type="dxa" w:w="6973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1"/>
              </w:rPr>
              <w:t>COINCIDE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Qué significa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Es la coincidencia más útil. Dice que no basta con «mandar a practicar»: importa que la práctica enseñe, dé autonomía y apoyo. Por eso las acciones de La Puerta deberían cuidar la calidad de cada experiencia, no solo la cantidad.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2.4 Comparación 3: ¿importan los contactos?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vimos en La Puerta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Solo 41 % dice tener una red de contactos laborales. Es lo más bajo de las 15 afirmaciones. Pasa igual con y sin práctica previa.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dice la investigación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Un estudio con 376 estudiantes de negocios (Batistic y Tymon, 2017) encontró que quienes se mueven y arman redes se sienten más empleables, sobre todo porque así consiguen más información y recursos. La idea de fondo es antigua y conocida: los contactos fuera del círculo cercano traen información nueva (Granovetter, 1973).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Resultado</w:t>
            </w:r>
          </w:p>
        </w:tc>
        <w:tc>
          <w:tcPr>
            <w:tcW w:type="dxa" w:w="6973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1"/>
              </w:rPr>
              <w:t>COINCIDE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Qué significa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Tener contactos no es un «extra»: es una forma de recibir información y oportunidades. Y es algo que se puede enseñar y practicar: cómo presentarse, cómo escribir a un profesional, qué preguntar. Hoy los estudiantes quieren vincularse (83 %) pero no tienen puentes.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2.5 Comparación 4: ¿sirven las simulaciones y los proyectos aunque no sean una práctica real?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vimos en La Puerta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Lo más pedido por los estudiantes en sus comentarios son simulaciones, casos reales y visitas a empresas. Además, 83 % quiere participar en proyectos con empresas antes de su práctica.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dice la investigación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En una universidad de Australia (Jollands, 2017), estudiantes de ingeniería que hicieron un proyecto real, acompañados por un profesional de una empresa, </w:t>
            </w:r>
            <w:r>
              <w:rPr>
                <w:rFonts w:ascii="Calibri" w:hAnsi="Calibri" w:eastAsia="Calibri"/>
                <w:b/>
                <w:sz w:val="20"/>
              </w:rPr>
              <w:t>subieron su confianza para trabajar tanto como con una práctica</w:t>
            </w:r>
            <w:r>
              <w:rPr>
                <w:rFonts w:ascii="Calibri" w:hAnsi="Calibri" w:eastAsia="Calibri"/>
                <w:sz w:val="20"/>
              </w:rPr>
              <w:t>. En el estudio grande de Australia (Jackson y Dean, 2023), las actividades que no ocurren en una empresa fueron mejores para desarrollar el trabajo en equipo y la colaboración, y las prácticas en empresas, para sentirse preparado en general.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Resultado</w:t>
            </w:r>
          </w:p>
        </w:tc>
        <w:tc>
          <w:tcPr>
            <w:tcW w:type="dxa" w:w="6973"/>
            <w:shd w:val="clear" w:color="auto" w:fill="FFB8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COINCIDE, CON CAUTELA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Qué significa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Las simulaciones y proyectos son una buena apuesta para quienes aún no han practicado. Pero ojo: en ese estudio se midió la </w:t>
            </w:r>
            <w:r>
              <w:rPr>
                <w:rFonts w:ascii="Calibri" w:hAnsi="Calibri" w:eastAsia="Calibri"/>
                <w:b/>
                <w:sz w:val="20"/>
              </w:rPr>
              <w:t>confianza</w:t>
            </w:r>
            <w:r>
              <w:rPr>
                <w:rFonts w:ascii="Calibri" w:hAnsi="Calibri" w:eastAsia="Calibri"/>
                <w:sz w:val="20"/>
              </w:rPr>
              <w:t xml:space="preserve"> de los estudiantes, no si después les fue mejor al buscar o hacer un trabajo. Hay que medirlo.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2.6 Comparación 5: ¿cuánto podemos creerle a lo que los estudiantes dicen de sí mismos?</w:t>
      </w:r>
    </w:p>
    <w:tbl>
      <w:tblPr>
        <w:tblW w:type="dxa" w:w="9355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vimos en La Puerta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Todo lo que medimos es lo que los estudiantes </w:t>
            </w:r>
            <w:r>
              <w:rPr>
                <w:rFonts w:ascii="Calibri" w:hAnsi="Calibri" w:eastAsia="Calibri"/>
                <w:b/>
                <w:sz w:val="20"/>
              </w:rPr>
              <w:t>creen</w:t>
            </w:r>
            <w:r>
              <w:rPr>
                <w:rFonts w:ascii="Calibri" w:hAnsi="Calibri" w:eastAsia="Calibri"/>
                <w:sz w:val="20"/>
              </w:rPr>
              <w:t xml:space="preserve"> de sí mismos. No medimos si trabajan mejor ni qué opina su jefatura.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Lo que dice la investigación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Casi todos los estudios revisados miden también la percepción: el estudio de Australia (Jackson y Dean, 2023) trabaja con la sensación de estar preparado; el de ingeniería (Jollands, 2017) mide la confianza; y los otros miden exploración o adaptabilidad según los propios estudiantes. Un resumen de estudios sobre pasantías en carreras técnicas señala además que </w:t>
            </w:r>
            <w:r>
              <w:rPr>
                <w:rFonts w:ascii="Calibri" w:hAnsi="Calibri" w:eastAsia="Calibri"/>
                <w:b/>
                <w:sz w:val="20"/>
              </w:rPr>
              <w:t>aún hay pocas revisiones</w:t>
            </w:r>
            <w:r>
              <w:rPr>
                <w:rFonts w:ascii="Calibri" w:hAnsi="Calibri" w:eastAsia="Calibri"/>
                <w:sz w:val="20"/>
              </w:rPr>
              <w:t xml:space="preserve"> sobre el tema.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Resultado</w:t>
            </w:r>
          </w:p>
        </w:tc>
        <w:tc>
          <w:tcPr>
            <w:tcW w:type="dxa" w:w="6973"/>
            <w:shd w:val="clear" w:color="auto" w:fill="6666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1"/>
              </w:rPr>
              <w:t>MISMO LÍMITE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Qué significa</w:t>
            </w:r>
          </w:p>
        </w:tc>
        <w:tc>
          <w:tcPr>
            <w:tcW w:type="dxa" w:w="697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No estamos peor que otros estudios, pero compartimos la misma debilidad. Para saber si lo que se cree se convierte en buen desempeño, hace falta que </w:t>
            </w:r>
            <w:r>
              <w:rPr>
                <w:rFonts w:ascii="Calibri" w:hAnsi="Calibri" w:eastAsia="Calibri"/>
                <w:b/>
                <w:sz w:val="20"/>
              </w:rPr>
              <w:t>las jefaturas de práctica también evalúen</w:t>
            </w:r>
            <w:r>
              <w:rPr>
                <w:rFonts w:ascii="Calibri" w:hAnsi="Calibri" w:eastAsia="Calibri"/>
                <w:sz w:val="20"/>
              </w:rPr>
              <w:t xml:space="preserve"> y que se mida a los mismos estudiantes antes y después.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2.7 Mapa de coincidencias y diferencias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2551"/>
        <w:gridCol w:w="2948"/>
        <w:gridCol w:w="1927"/>
      </w:tblGrid>
      <w:tr>
        <w:trPr>
          <w:tblHeader w:val="true"/>
        </w:trPr>
        <w:tc>
          <w:tcPr>
            <w:tcW w:type="dxa" w:w="192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255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En La Puerta</w:t>
            </w:r>
          </w:p>
        </w:tc>
        <w:tc>
          <w:tcPr>
            <w:tcW w:type="dxa" w:w="294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En la investigación</w:t>
            </w:r>
          </w:p>
        </w:tc>
        <w:tc>
          <w:tcPr>
            <w:tcW w:type="dxa" w:w="192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Práctica previa</w:t>
            </w:r>
          </w:p>
        </w:tc>
        <w:tc>
          <w:tcPr>
            <w:tcW w:type="dxa" w:w="255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Ayuda poco (+0,17 de 5)</w:t>
            </w:r>
          </w:p>
        </w:tc>
        <w:tc>
          <w:tcPr>
            <w:tcW w:type="dxa" w:w="29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Ayuda a ganar confianza (se mide en el tiempo)</w:t>
            </w:r>
          </w:p>
        </w:tc>
        <w:tc>
          <w:tcPr>
            <w:tcW w:type="dxa" w:w="1928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COINCIDE / MATIZA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Calidad de la experiencia</w:t>
            </w:r>
          </w:p>
        </w:tc>
        <w:tc>
          <w:tcPr>
            <w:tcW w:type="dxa" w:w="255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Conocer, aplicar y comprobar pesan más</w:t>
            </w:r>
          </w:p>
        </w:tc>
        <w:tc>
          <w:tcPr>
            <w:tcW w:type="dxa" w:w="294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La calidad de la práctica predice la exploración de carrera</w:t>
            </w:r>
          </w:p>
        </w:tc>
        <w:tc>
          <w:tcPr>
            <w:tcW w:type="dxa" w:w="1928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COINCIDE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Contactos</w:t>
            </w:r>
          </w:p>
        </w:tc>
        <w:tc>
          <w:tcPr>
            <w:tcW w:type="dxa" w:w="255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Solo 4 de cada 10 tiene red</w:t>
            </w:r>
          </w:p>
        </w:tc>
        <w:tc>
          <w:tcPr>
            <w:tcW w:type="dxa" w:w="29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Los contactos dan información y sensación de empleabilidad</w:t>
            </w:r>
          </w:p>
        </w:tc>
        <w:tc>
          <w:tcPr>
            <w:tcW w:type="dxa" w:w="1928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COINCIDE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Simulaciones y proyectos</w:t>
            </w:r>
          </w:p>
        </w:tc>
        <w:tc>
          <w:tcPr>
            <w:tcW w:type="dxa" w:w="255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 lo más pedido</w:t>
            </w:r>
          </w:p>
        </w:tc>
        <w:tc>
          <w:tcPr>
            <w:tcW w:type="dxa" w:w="294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Un proyecto simulado sube la confianza como una práctica</w:t>
            </w:r>
          </w:p>
        </w:tc>
        <w:tc>
          <w:tcPr>
            <w:tcW w:type="dxa" w:w="1928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COINCIDE, CON CAUTELA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Medir lo que cree vs. lo que hace</w:t>
            </w:r>
          </w:p>
        </w:tc>
        <w:tc>
          <w:tcPr>
            <w:tcW w:type="dxa" w:w="255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Solo percepción</w:t>
            </w:r>
          </w:p>
        </w:tc>
        <w:tc>
          <w:tcPr>
            <w:tcW w:type="dxa" w:w="29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También casi solo percepción</w:t>
            </w:r>
          </w:p>
        </w:tc>
        <w:tc>
          <w:tcPr>
            <w:tcW w:type="dxa" w:w="1928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MISMO LÍMITE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2.8 Qué consecuencias tiene</w:t>
      </w:r>
    </w:p>
    <w:p>
      <w:r>
        <w:rPr>
          <w:rFonts w:ascii="Calibri" w:hAnsi="Calibri" w:eastAsia="Calibri"/>
        </w:rPr>
        <w:t xml:space="preserve">Las consecuencias que siguen son </w:t>
      </w:r>
      <w:r>
        <w:rPr>
          <w:rFonts w:ascii="Calibri" w:hAnsi="Calibri" w:eastAsia="Calibri"/>
          <w:b/>
        </w:rPr>
        <w:t>escenarios razonados</w:t>
      </w:r>
      <w:r>
        <w:rPr>
          <w:rFonts w:ascii="Calibri" w:hAnsi="Calibri" w:eastAsia="Calibri"/>
        </w:rPr>
        <w:t>, no predicciones exactas. Sirven para conversar y decidir.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2608"/>
        <w:gridCol w:w="2608"/>
        <w:gridCol w:w="2664"/>
      </w:tblGrid>
      <w:tr>
        <w:trPr>
          <w:tblHeader w:val="true"/>
        </w:trPr>
        <w:tc>
          <w:tcPr>
            <w:tcW w:type="dxa" w:w="147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Para…</w:t>
            </w:r>
          </w:p>
        </w:tc>
        <w:tc>
          <w:tcPr>
            <w:tcW w:type="dxa" w:w="260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Si actuamos bien</w:t>
            </w:r>
          </w:p>
        </w:tc>
        <w:tc>
          <w:tcPr>
            <w:tcW w:type="dxa" w:w="260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Si no hacemos nada</w:t>
            </w:r>
          </w:p>
        </w:tc>
        <w:tc>
          <w:tcPr>
            <w:tcW w:type="dxa" w:w="2665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Si actuamos mal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Estudiantes</w:t>
            </w:r>
          </w:p>
        </w:tc>
        <w:tc>
          <w:tcPr>
            <w:tcW w:type="dxa" w:w="260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Llegan a la práctica con contactos y con al menos una vivencia real; menos susto el primer día.</w:t>
            </w:r>
          </w:p>
        </w:tc>
        <w:tc>
          <w:tcPr>
            <w:tcW w:type="dxa" w:w="260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La red depende de la suerte (quién conoce a alguien). Quienes no han practicado (6 de cada 10) siguen sin experiencias que contar.</w:t>
            </w:r>
          </w:p>
        </w:tc>
        <w:tc>
          <w:tcPr>
            <w:tcW w:type="dxa" w:w="266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 sienten etiquetados («sin práctica previa»). Se les promete más de lo que se puede cumplir.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Docentes</w:t>
            </w:r>
          </w:p>
        </w:tc>
        <w:tc>
          <w:tcPr>
            <w:tcW w:type="dxa" w:w="260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Tienen casos y visitas que dan vida a las clases; saben qué pedir a cada estudiante.</w:t>
            </w:r>
          </w:p>
        </w:tc>
        <w:tc>
          <w:tcPr>
            <w:tcW w:type="dxa" w:w="260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Siguen enseñando «para el aula» mientras los estudiantes piden «para el trabajo».</w:t>
            </w:r>
          </w:p>
        </w:tc>
        <w:tc>
          <w:tcPr>
            <w:tcW w:type="dxa" w:w="266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 sobrecargan con actividades extra sin tiempo ni apoyo.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Empresas socias</w:t>
            </w:r>
          </w:p>
        </w:tc>
        <w:tc>
          <w:tcPr>
            <w:tcW w:type="dxa" w:w="260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Reciben practicantes más preparados y una relación más cercana con la escuela.</w:t>
            </w:r>
          </w:p>
        </w:tc>
        <w:tc>
          <w:tcPr>
            <w:tcW w:type="dxa" w:w="260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Siguen viendo a estudiantes que conocen poco el día a día laboral.</w:t>
            </w:r>
          </w:p>
        </w:tc>
        <w:tc>
          <w:tcPr>
            <w:tcW w:type="dxa" w:w="266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Pierden la paciencia con actividades mal planificadas.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Escuela / Duoc</w:t>
            </w:r>
          </w:p>
        </w:tc>
        <w:tc>
          <w:tcPr>
            <w:tcW w:type="dxa" w:w="260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Tiene evidencia propia para decidir y mostrar el impacto de La Puerta.</w:t>
            </w:r>
          </w:p>
        </w:tc>
        <w:tc>
          <w:tcPr>
            <w:tcW w:type="dxa" w:w="260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No puede demostrar si La Puerta funciona; la decisión se toma sin pruebas.</w:t>
            </w:r>
          </w:p>
        </w:tc>
        <w:tc>
          <w:tcPr>
            <w:tcW w:type="dxa" w:w="266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Escala un modelo sin comprobar si sirve y gasta recursos donde no corresponde.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Lo que más conviene evitar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Separar a los estudiantes por «tener o no tener práctica previa».</w:t>
            </w:r>
            <w:r>
              <w:rPr>
                <w:rFonts w:ascii="Calibri" w:hAnsi="Calibri" w:eastAsia="Calibri"/>
                <w:sz w:val="20"/>
              </w:rPr>
              <w:t xml:space="preserve"> La ventaja es pequeña y no justifica una política especial.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sz w:val="20"/>
              </w:rPr>
              <w:t>Decir que La Puerta «funciona».</w:t>
            </w:r>
            <w:r>
              <w:rPr>
                <w:rFonts w:ascii="Calibri" w:hAnsi="Calibri" w:eastAsia="Calibri"/>
                <w:sz w:val="20"/>
              </w:rPr>
              <w:t xml:space="preserve"> Con los datos de hoy solo podemos decir cómo están los estudiantes, no que el programa los haya cambiado.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2.9 Qué hacer: acciones en 30 días, 90 días y un año</w:t>
      </w:r>
    </w:p>
    <w:p>
      <w:r>
        <w:rPr>
          <w:rFonts w:ascii="Calibri" w:hAnsi="Calibri" w:eastAsia="Calibri"/>
        </w:rPr>
        <w:t>Las acciones usan los mismos códigos (R1 a R8) del Manual de propuestas de mejora, pero aquí se explican en lenguaje cotidiano.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4195"/>
        <w:gridCol w:w="2778"/>
        <w:gridCol w:w="1020"/>
      </w:tblGrid>
      <w:tr>
        <w:trPr>
          <w:tblHeader w:val="true"/>
        </w:trPr>
        <w:tc>
          <w:tcPr>
            <w:tcW w:type="dxa" w:w="136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Cuándo</w:t>
            </w:r>
          </w:p>
        </w:tc>
        <w:tc>
          <w:tcPr>
            <w:tcW w:type="dxa" w:w="4195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hacer</w:t>
            </w:r>
          </w:p>
        </w:tc>
        <w:tc>
          <w:tcPr>
            <w:tcW w:type="dxa" w:w="277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Para qué</w:t>
            </w:r>
          </w:p>
        </w:tc>
        <w:tc>
          <w:tcPr>
            <w:tcW w:type="dxa" w:w="1020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Código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En 30 días</w:t>
            </w:r>
          </w:p>
        </w:tc>
        <w:tc>
          <w:tcPr>
            <w:tcW w:type="dxa" w:w="419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Arreglar la encuesta: que cada estudiante tenga un código, que se sepa si contesta antes o después, y a qué grupo pertenece.</w:t>
            </w:r>
          </w:p>
        </w:tc>
        <w:tc>
          <w:tcPr>
            <w:tcW w:type="dxa" w:w="27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Poder comprobar si La Puerta sirve.</w:t>
            </w:r>
          </w:p>
        </w:tc>
        <w:tc>
          <w:tcPr>
            <w:tcW w:type="dxa" w:w="10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R1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En 30 días</w:t>
            </w:r>
          </w:p>
        </w:tc>
        <w:tc>
          <w:tcPr>
            <w:tcW w:type="dxa" w:w="419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Ubicar a los 38 estudiantes que hoy puntúan más bajo y ofrecerles acompañamiento, sin etiquetarlos.</w:t>
            </w:r>
          </w:p>
        </w:tc>
        <w:tc>
          <w:tcPr>
            <w:tcW w:type="dxa" w:w="277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Prevenir un mal comienzo en la práctica.</w:t>
            </w:r>
          </w:p>
        </w:tc>
        <w:tc>
          <w:tcPr>
            <w:tcW w:type="dxa" w:w="102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R4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En 30 días</w:t>
            </w:r>
          </w:p>
        </w:tc>
        <w:tc>
          <w:tcPr>
            <w:tcW w:type="dxa" w:w="419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Pedir a dos personas que lean por separado las respuestas abiertas y comparen cómo las agrupan.</w:t>
            </w:r>
          </w:p>
        </w:tc>
        <w:tc>
          <w:tcPr>
            <w:tcW w:type="dxa" w:w="27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Asegurar que las ideas no dependen de una sola lectura.</w:t>
            </w:r>
          </w:p>
        </w:tc>
        <w:tc>
          <w:tcPr>
            <w:tcW w:type="dxa" w:w="10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R8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En 90 días</w:t>
            </w:r>
          </w:p>
        </w:tc>
        <w:tc>
          <w:tcPr>
            <w:tcW w:type="dxa" w:w="419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Organizar «cafés con profesionales»: conversaciones de 45 minutos con egresados y gente de empresas; pedir a cada estudiante que entreviste a un profesional.</w:t>
            </w:r>
          </w:p>
        </w:tc>
        <w:tc>
          <w:tcPr>
            <w:tcW w:type="dxa" w:w="277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Que cada estudiante tenga contactos y sepa cómo acercarse a otros.</w:t>
            </w:r>
          </w:p>
        </w:tc>
        <w:tc>
          <w:tcPr>
            <w:tcW w:type="dxa" w:w="102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R2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En 90 días</w:t>
            </w:r>
          </w:p>
        </w:tc>
        <w:tc>
          <w:tcPr>
            <w:tcW w:type="dxa" w:w="419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Armar visitas a empresas y simulaciones (entrevista, primer día de trabajo), con una hoja de observación y una reflexión escrita.</w:t>
            </w:r>
          </w:p>
        </w:tc>
        <w:tc>
          <w:tcPr>
            <w:tcW w:type="dxa" w:w="27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Que todos vean el trabajo real antes de la práctica y aprendan de eso.</w:t>
            </w:r>
          </w:p>
        </w:tc>
        <w:tc>
          <w:tcPr>
            <w:tcW w:type="dxa" w:w="10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R3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En 90 días</w:t>
            </w:r>
          </w:p>
        </w:tc>
        <w:tc>
          <w:tcPr>
            <w:tcW w:type="dxa" w:w="419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Un taller corto de comunicación: explicar lo técnico con palabras simples y pedir ayuda.</w:t>
            </w:r>
          </w:p>
        </w:tc>
        <w:tc>
          <w:tcPr>
            <w:tcW w:type="dxa" w:w="277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Mejorar lo que más cuesta explicar.</w:t>
            </w:r>
          </w:p>
        </w:tc>
        <w:tc>
          <w:tcPr>
            <w:tcW w:type="dxa" w:w="102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R5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En un año</w:t>
            </w:r>
          </w:p>
        </w:tc>
        <w:tc>
          <w:tcPr>
            <w:tcW w:type="dxa" w:w="419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Medir antes y después con un grupo parecido que no participe; sumar la evaluación del tutor de empresa.</w:t>
            </w:r>
          </w:p>
        </w:tc>
        <w:tc>
          <w:tcPr>
            <w:tcW w:type="dxa" w:w="27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Saber si lo que se cree se convierte en mejor desempeño.</w:t>
            </w:r>
          </w:p>
        </w:tc>
        <w:tc>
          <w:tcPr>
            <w:tcW w:type="dxa" w:w="102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R1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En un año</w:t>
            </w:r>
          </w:p>
        </w:tc>
        <w:tc>
          <w:tcPr>
            <w:tcW w:type="dxa" w:w="419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Revisar inglés y herramientas (ERP, Excel, Power BI) y las actividades para 3.º–4.º semestre, y decidir si se amplía La Puerta.</w:t>
            </w:r>
          </w:p>
        </w:tc>
        <w:tc>
          <w:tcPr>
            <w:tcW w:type="dxa" w:w="277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Cerrar brechas que los estudiantes piden y decidir con evidencia.</w:t>
            </w:r>
          </w:p>
        </w:tc>
        <w:tc>
          <w:tcPr>
            <w:tcW w:type="dxa" w:w="102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R6 · R7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Un punto de partida que no cuesta casi nada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 entrevista a un profesional (R2) y la hoja de observación en las visitas (R3) pueden hacerse </w:t>
            </w:r>
            <w:r>
              <w:rPr>
                <w:rFonts w:ascii="Calibri" w:hAnsi="Calibri" w:eastAsia="Calibri"/>
                <w:b/>
                <w:sz w:val="20"/>
              </w:rPr>
              <w:t>dentro de asignaturas que ya existen</w:t>
            </w:r>
            <w:r>
              <w:rPr>
                <w:rFonts w:ascii="Calibri" w:hAnsi="Calibri" w:eastAsia="Calibri"/>
                <w:sz w:val="20"/>
              </w:rPr>
              <w:t>, sin gastos extras. Es la forma más rápida de empezar.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3. CONCLUSIÓN</w:t>
      </w:r>
    </w:p>
    <w:p>
      <w:pPr>
        <w:pStyle w:val="Heading2"/>
        <w:pBdr>
          <w:left w:val="single" w:sz="28" w:space="8" w:color="FFB800"/>
        </w:pBdr>
      </w:pPr>
      <w:r>
        <w:t>3.1 Lo aprendido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1.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Nuestros resultados tienen respaldo.</w:t>
      </w:r>
      <w:r>
        <w:rPr>
          <w:rFonts w:ascii="Calibri" w:hAnsi="Calibri" w:eastAsia="Calibri"/>
        </w:rPr>
        <w:t xml:space="preserve"> En cuatro de las cinco comparaciones, lo que vimos aquí va en la misma dirección que lo que dicen otros estudios.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2.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 calidad pesa más que la cantidad.</w:t>
      </w:r>
      <w:r>
        <w:rPr>
          <w:rFonts w:ascii="Calibri" w:hAnsi="Calibri" w:eastAsia="Calibri"/>
        </w:rPr>
        <w:t xml:space="preserve"> Una buena experiencia (con autonomía, apoyo y aprendizaje) importa más que el solo hecho de haber hecho una práctica.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3.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Los contactos y los proyectos reales son buenas apuestas.</w:t>
      </w:r>
      <w:r>
        <w:rPr>
          <w:rFonts w:ascii="Calibri" w:hAnsi="Calibri" w:eastAsia="Calibri"/>
        </w:rPr>
        <w:t xml:space="preserve"> Hay evidencia de otros lugares y una demanda clara en Duoc.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4.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Todos medimos lo que se cree, no lo que se hace.</w:t>
      </w:r>
      <w:r>
        <w:rPr>
          <w:rFonts w:ascii="Calibri" w:hAnsi="Calibri" w:eastAsia="Calibri"/>
        </w:rPr>
        <w:t xml:space="preserve"> Hay que sumar la mirada de las jefaturas y medir antes y después.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5.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Falta mirar a Chile.</w:t>
      </w:r>
      <w:r>
        <w:rPr>
          <w:rFonts w:ascii="Calibri" w:hAnsi="Calibri" w:eastAsia="Calibri"/>
        </w:rPr>
        <w:t xml:space="preserve"> La investigación que encontramos viene de otros países; debemos buscar y revisar estudios chilenos antes de generalizar.</w:t>
      </w:r>
    </w:p>
    <w:p>
      <w:pPr>
        <w:pStyle w:val="Heading2"/>
        <w:pBdr>
          <w:left w:val="single" w:sz="28" w:space="8" w:color="FFB800"/>
        </w:pBdr>
      </w:pPr>
      <w:r>
        <w:t>3.2 Lo que todavía hay que revisar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Abrir y leer los textos completos de los estudios citados y confirmar sus datos (autores, volumen y páginas).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Buscar estudios sobre formación técnico-profesional en Chile (por ejemplo, sobre las prácticas iniciales y el rendimiento en el primer año), que aparecieron en la búsqueda pero no pudimos revisar a fondo.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Revisar si existe una revisión formal que reúna los estudios sobre pasantías y empleabilidad en estudiantes técnicos; una búsqueda encontró una de 23 artículos (2009–2023), pero no pudimos confirmar sus datos.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Repetir este estudio paralelo cuando haya resultados antes/después de La Puerta.</w:t>
      </w:r>
    </w:p>
    <w:p>
      <w:pPr>
        <w:pStyle w:val="Heading1"/>
        <w:pageBreakBefore/>
        <w:pBdr>
          <w:left w:val="single" w:sz="36" w:space="8" w:color="FFB800"/>
        </w:pBdr>
      </w:pPr>
      <w:r>
        <w:t>4. REFERENCIAS</w:t>
      </w:r>
    </w:p>
    <w:p>
      <w:r>
        <w:rPr>
          <w:rFonts w:ascii="Calibri" w:hAnsi="Calibri" w:eastAsia="Calibri"/>
          <w:color w:val="666666"/>
          <w:sz w:val="20"/>
        </w:rPr>
        <w:t xml:space="preserve">Referencias en formato APA 7, ordenadas alfabéticamente. Las cinco primeras son estudios revisados </w:t>
      </w:r>
      <w:r>
        <w:rPr>
          <w:rFonts w:ascii="Calibri" w:hAnsi="Calibri" w:eastAsia="Calibri"/>
          <w:b/>
          <w:color w:val="666666"/>
          <w:sz w:val="20"/>
        </w:rPr>
        <w:t>a través de sus resúmenes</w:t>
      </w:r>
      <w:r>
        <w:rPr>
          <w:rFonts w:ascii="Calibri" w:hAnsi="Calibri" w:eastAsia="Calibri"/>
          <w:color w:val="666666"/>
          <w:sz w:val="20"/>
        </w:rPr>
        <w:t>; los datos marcados con [por confirmar] deben verificarse en la fuente. Las demás son referencias de apoyo, no verificadas en línea durante esta sesión.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Bandura, A. (1997). </w:t>
      </w:r>
      <w:r>
        <w:rPr>
          <w:rFonts w:ascii="Calibri" w:hAnsi="Calibri"/>
          <w:i/>
          <w:sz w:val="21"/>
        </w:rPr>
        <w:t>Self-efficacy: The exercise of control</w:t>
      </w:r>
      <w:r>
        <w:rPr>
          <w:rFonts w:ascii="Calibri" w:hAnsi="Calibri"/>
          <w:i w:val="0"/>
          <w:sz w:val="21"/>
        </w:rPr>
        <w:t>. W. H. Freeman.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Batistic, S., &amp; Tymon, A. (2017). Networking behaviour, graduate employability: A social capital perspective. </w:t>
      </w:r>
      <w:r>
        <w:rPr>
          <w:rFonts w:ascii="Calibri" w:hAnsi="Calibri"/>
          <w:i/>
          <w:sz w:val="21"/>
        </w:rPr>
        <w:t>Education + Training, 59</w:t>
      </w:r>
      <w:r>
        <w:rPr>
          <w:rFonts w:ascii="Calibri" w:hAnsi="Calibri"/>
          <w:i w:val="0"/>
          <w:sz w:val="21"/>
        </w:rPr>
        <w:t>(4), 374–388. https://doi.org/10.1108/ET-06-2016-0100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Gamboa, V., Paixão, M. P., &amp; Jesus, S. N. (2013). Internship quality predicts career exploration of high school students. </w:t>
      </w:r>
      <w:r>
        <w:rPr>
          <w:rFonts w:ascii="Calibri" w:hAnsi="Calibri"/>
          <w:i/>
          <w:sz w:val="21"/>
        </w:rPr>
        <w:t>Journal of Vocational Behavior, 83</w:t>
      </w:r>
      <w:r>
        <w:rPr>
          <w:rFonts w:ascii="Calibri" w:hAnsi="Calibri"/>
          <w:i w:val="0"/>
          <w:sz w:val="21"/>
        </w:rPr>
        <w:t>, 78–87. https://doi.org/10.1016/j.jvb.2013.02.009 [autoría y datos inferidos por coincidencia de título y diseño; por confirmar]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Granovetter, M. S. (1973). The strength of weak ties. </w:t>
      </w:r>
      <w:r>
        <w:rPr>
          <w:rFonts w:ascii="Calibri" w:hAnsi="Calibri"/>
          <w:i/>
          <w:sz w:val="21"/>
        </w:rPr>
        <w:t>American Journal of Sociology, 78</w:t>
      </w:r>
      <w:r>
        <w:rPr>
          <w:rFonts w:ascii="Calibri" w:hAnsi="Calibri"/>
          <w:i w:val="0"/>
          <w:sz w:val="21"/>
        </w:rPr>
        <w:t>(6), 1360–1380.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Jackson, D., &amp; Dean, B. A. (2023). The contribution of different types of work-integrated learning to graduate employability. </w:t>
      </w:r>
      <w:r>
        <w:rPr>
          <w:rFonts w:ascii="Calibri" w:hAnsi="Calibri"/>
          <w:i/>
          <w:sz w:val="21"/>
        </w:rPr>
        <w:t>Higher Education Research &amp; Development</w:t>
      </w:r>
      <w:r>
        <w:rPr>
          <w:rFonts w:ascii="Calibri" w:hAnsi="Calibri"/>
          <w:i w:val="0"/>
          <w:sz w:val="21"/>
        </w:rPr>
        <w:t>. https://ro.ecu.edu.au/ecuworks2022-2026/651 [volumen y páginas por confirmar]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Jollands, M. (2017). A non-placement authentic simulated work integrated learning project for final year students. En </w:t>
      </w:r>
      <w:r>
        <w:rPr>
          <w:rFonts w:ascii="Calibri" w:hAnsi="Calibri"/>
          <w:i/>
          <w:sz w:val="21"/>
        </w:rPr>
        <w:t>Proceedings of the Australian Conference on Science and Mathematics Education (2016)</w:t>
      </w:r>
      <w:r>
        <w:rPr>
          <w:rFonts w:ascii="Calibri" w:hAnsi="Calibri"/>
          <w:i w:val="0"/>
          <w:sz w:val="21"/>
        </w:rPr>
        <w:t xml:space="preserve"> (pp. 170–175). University of Queensland. https://openjournals.library.sydney.edu.au/IISME/article/view/10742 [trabajo no arbitrado]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Kolb, D. A. (1984). </w:t>
      </w:r>
      <w:r>
        <w:rPr>
          <w:rFonts w:ascii="Calibri" w:hAnsi="Calibri"/>
          <w:i/>
          <w:sz w:val="21"/>
        </w:rPr>
        <w:t>Experiential learning: Experience as the source of learning and development</w:t>
      </w:r>
      <w:r>
        <w:rPr>
          <w:rFonts w:ascii="Calibri" w:hAnsi="Calibri"/>
          <w:i w:val="0"/>
          <w:sz w:val="21"/>
        </w:rPr>
        <w:t>. Prentice-Hall.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Ocampo, A. C. G., et al. (2020). The role of internship participation and conscientiousness in developing career adaptability: A five-wave growth mixture model analysis. </w:t>
      </w:r>
      <w:r>
        <w:rPr>
          <w:rFonts w:ascii="Calibri" w:hAnsi="Calibri"/>
          <w:i/>
          <w:sz w:val="21"/>
        </w:rPr>
        <w:t>Journal of Vocational Behavior, 120</w:t>
      </w:r>
      <w:r>
        <w:rPr>
          <w:rFonts w:ascii="Calibri" w:hAnsi="Calibri"/>
          <w:i w:val="0"/>
          <w:sz w:val="21"/>
        </w:rPr>
        <w:t>, Article 103426. https://doi.org/10.1016/j.jvb.2020.103426 [lista completa de autores por confirmar]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Tomlinson, M. (2017). Forms of graduate capital and their relationship to graduate employability. </w:t>
      </w:r>
      <w:r>
        <w:rPr>
          <w:rFonts w:ascii="Calibri" w:hAnsi="Calibri"/>
          <w:i/>
          <w:sz w:val="21"/>
        </w:rPr>
        <w:t>Education + Training, 59</w:t>
      </w:r>
      <w:r>
        <w:rPr>
          <w:rFonts w:ascii="Calibri" w:hAnsi="Calibri"/>
          <w:i w:val="0"/>
          <w:sz w:val="21"/>
        </w:rPr>
        <w:t>(4), 338–352.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Yorke, M. (2006). </w:t>
      </w:r>
      <w:r>
        <w:rPr>
          <w:rFonts w:ascii="Calibri" w:hAnsi="Calibri"/>
          <w:i/>
          <w:sz w:val="21"/>
        </w:rPr>
        <w:t>Employability in higher education: What it is – what it is not</w:t>
      </w:r>
      <w:r>
        <w:rPr>
          <w:rFonts w:ascii="Calibri" w:hAnsi="Calibri"/>
          <w:i w:val="0"/>
          <w:sz w:val="21"/>
        </w:rPr>
        <w:t>. Higher Education Academy.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Duoc UC (2026). </w:t>
      </w:r>
      <w:r>
        <w:rPr>
          <w:rFonts w:ascii="Calibri" w:hAnsi="Calibri"/>
          <w:i/>
          <w:sz w:val="21"/>
        </w:rPr>
        <w:t>Proyecto La Puerta: Base de datos y matriz de análisis (20261009_1658)</w:t>
      </w:r>
      <w:r>
        <w:rPr>
          <w:rFonts w:ascii="Calibri" w:hAnsi="Calibri"/>
          <w:i w:val="0"/>
          <w:sz w:val="21"/>
        </w:rPr>
        <w:t xml:space="preserve"> [base de datos interna, no publicada].</w:t>
      </w:r>
    </w:p>
    <w:p>
      <w:pPr>
        <w:pStyle w:val="Heading1"/>
        <w:pageBreakBefore/>
        <w:pBdr>
          <w:left w:val="single" w:sz="36" w:space="8" w:color="FFB800"/>
        </w:pBdr>
      </w:pPr>
      <w:r>
        <w:t>5. ANEXOS</w:t>
      </w:r>
    </w:p>
    <w:p>
      <w:pPr>
        <w:pStyle w:val="Heading2"/>
        <w:pBdr>
          <w:left w:val="single" w:sz="28" w:space="8" w:color="FFB800"/>
        </w:pBdr>
      </w:pPr>
      <w:r>
        <w:t>5.1 Búsquedas realizadas</w:t>
      </w:r>
    </w:p>
    <w:p>
      <w:r>
        <w:rPr>
          <w:rFonts w:ascii="Calibri" w:hAnsi="Calibri" w:eastAsia="Calibri"/>
          <w:sz w:val="21"/>
        </w:rPr>
        <w:t>Todas las búsquedas se hicieron el 18 de octubre de 2026, en la web, y se revisaron los resúmenes que devolvió el buscador.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3118"/>
        <w:gridCol w:w="4309"/>
      </w:tblGrid>
      <w:tr>
        <w:trPr>
          <w:tblHeader w:val="true"/>
        </w:trPr>
        <w:tc>
          <w:tcPr>
            <w:tcW w:type="dxa" w:w="192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311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se buscó</w:t>
            </w:r>
          </w:p>
        </w:tc>
        <w:tc>
          <w:tcPr>
            <w:tcW w:type="dxa" w:w="430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se encontró y se usó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¿Ayuda la práctica?</w:t>
            </w:r>
          </w:p>
        </w:tc>
        <w:tc>
          <w:tcPr>
            <w:tcW w:type="dxa" w:w="31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Prácticas y empleabilidad (revisiones y estudios)</w:t>
            </w:r>
          </w:p>
        </w:tc>
        <w:tc>
          <w:tcPr>
            <w:tcW w:type="dxa" w:w="430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Jackson y Dean (2023); una revisión de pasantías en estudiantes técnicos (23 artículos, 2009–2023) por confirmar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¿Importan los contactos?</w:t>
            </w:r>
          </w:p>
        </w:tc>
        <w:tc>
          <w:tcPr>
            <w:tcW w:type="dxa" w:w="311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Redes y empleabilidad en educación superior</w:t>
            </w:r>
          </w:p>
        </w:tc>
        <w:tc>
          <w:tcPr>
            <w:tcW w:type="dxa" w:w="430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Batistic y Tymon (2017)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¿Cómo es en Chile?</w:t>
            </w:r>
          </w:p>
        </w:tc>
        <w:tc>
          <w:tcPr>
            <w:tcW w:type="dxa" w:w="31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Práctica profesional y empleabilidad en la educación técnica chilena</w:t>
            </w:r>
          </w:p>
        </w:tc>
        <w:tc>
          <w:tcPr>
            <w:tcW w:type="dxa" w:w="430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Documentos generales de contexto y estudios de prácticas iniciales por revisar; no se citan resultados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¿Sube la confianza?</w:t>
            </w:r>
          </w:p>
        </w:tc>
        <w:tc>
          <w:tcPr>
            <w:tcW w:type="dxa" w:w="311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Pasantías, confianza y adaptabilidad</w:t>
            </w:r>
          </w:p>
        </w:tc>
        <w:tc>
          <w:tcPr>
            <w:tcW w:type="dxa" w:w="430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Ocampo y otros (2020); Gamboa y otros (2013)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¿Sirven las simulaciones?</w:t>
            </w:r>
          </w:p>
        </w:tc>
        <w:tc>
          <w:tcPr>
            <w:tcW w:type="dxa" w:w="31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Aprendizaje simulado y empleabilidad</w:t>
            </w:r>
          </w:p>
        </w:tc>
        <w:tc>
          <w:tcPr>
            <w:tcW w:type="dxa" w:w="430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Jollands (2017); otros informes de menor solidez, no citados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Verificación de citas</w:t>
            </w:r>
          </w:p>
        </w:tc>
        <w:tc>
          <w:tcPr>
            <w:tcW w:type="dxa" w:w="311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Datos bibliográficos de los estudios principales</w:t>
            </w:r>
          </w:p>
        </w:tc>
        <w:tc>
          <w:tcPr>
            <w:tcW w:type="dxa" w:w="430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Confirmados: Batistic y Tymon (revista, volumen, páginas, DOI); Ocampo y otros (revista, volumen, artículo, DOI). Por confirmar: el resto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3"/>
      </w:pPr>
      <w:r>
        <w:t>Declaración sobre el uso de Inteligencia Artificial</w:t>
      </w:r>
    </w:p>
    <w:p>
      <w:r>
        <w:rPr>
          <w:rFonts w:ascii="Calibri" w:hAnsi="Calibri" w:eastAsia="Calibri"/>
          <w:sz w:val="21"/>
        </w:rPr>
        <w:t xml:space="preserve">Este documento se elaboró con apoyo de </w:t>
      </w:r>
      <w:r>
        <w:rPr>
          <w:rFonts w:ascii="Calibri" w:hAnsi="Calibri" w:eastAsia="Calibri"/>
          <w:b/>
          <w:sz w:val="21"/>
        </w:rPr>
        <w:t>Claude (Anthropic)</w:t>
      </w:r>
      <w:r>
        <w:rPr>
          <w:rFonts w:ascii="Calibri" w:hAnsi="Calibri" w:eastAsia="Calibri"/>
          <w:sz w:val="21"/>
        </w:rPr>
        <w:t>, un modelo de Inteligencia Artificial generativa, entre octubre de 2026. A continuación se indica con transparencia qué hizo la herramienta y qué debe revisar una persona.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3969"/>
        <w:gridCol w:w="3458"/>
      </w:tblGrid>
      <w:tr>
        <w:trPr>
          <w:tblHeader w:val="true"/>
        </w:trPr>
        <w:tc>
          <w:tcPr>
            <w:tcW w:type="dxa" w:w="192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Tarea</w:t>
            </w:r>
          </w:p>
        </w:tc>
        <w:tc>
          <w:tcPr>
            <w:tcW w:type="dxa" w:w="396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hizo la IA</w:t>
            </w:r>
          </w:p>
        </w:tc>
        <w:tc>
          <w:tcPr>
            <w:tcW w:type="dxa" w:w="345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debe revisar o decidir una persona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Datos y cálculos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Limpió la base y calculó promedios, porcentajes, comparaciones y gráficos con código (Python) guardado en la carpeta `src` del repositorio.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Revisar los scripts y repetir los cálculos ante cualquier duda. Los resultados son reproducibles.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Tarea específica de este documento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Buscar y resumir estudios, compararlos con los resultados de La Puerta y redactar el texto en lenguaje cotidiano.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Validar que el enfoque y las conclusiones correspondan al propósito del proyecto.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Respuestas abiertas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Las agrupó por temas de forma automática (clasificación preliminar).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Doble lectura humana y libro de códigos antes de citar conteos.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Redacción y diseño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Redactó, organizó y diseñó tablas, gráficos, diagramas e infografías (ilustraciones propias, sin fotografías de personas).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Revisar el tono, el contenido y la adecuación institucional (por ejemplo, insertar el logo oficial).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Bibliografía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Seleccionó las referencias a partir de su conocimiento de la literatura y, cuando se indica, de resúmenes encontrados en la web.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Verificar autores, volumen, páginas y DOI en la fuente antes de publicar. Lo no verificado está marcado.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Datos personales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No se incluyeron nombres, correos ni códigos de estudiantes; las citas textuales son anónimas.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Mantener la confidencialidad al difundir.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Responsabilidad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 IA </w:t>
            </w:r>
            <w:r>
              <w:rPr>
                <w:rFonts w:ascii="Calibri" w:hAnsi="Calibri" w:eastAsia="Calibri"/>
                <w:b/>
                <w:sz w:val="20"/>
              </w:rPr>
              <w:t>no reemplaza el juicio experto</w:t>
            </w:r>
            <w:r>
              <w:rPr>
                <w:rFonts w:ascii="Calibri" w:hAnsi="Calibri" w:eastAsia="Calibri"/>
                <w:sz w:val="20"/>
              </w:rPr>
              <w:t xml:space="preserve"> ni asume responsabilidad por las decisiones. Las interpretaciones y recomendaciones deben ser revisadas y asumidas por el equipo responsable del Proyecto La Puerta antes de su difusión institucional.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Si algún dato de este documento no coincide con las fuentes, prevalecen las fuentes originales.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right"/>
    </w:pPr>
    <w:r>
      <w:rPr>
        <w:rFonts w:ascii="Calibri" w:hAnsi="Calibri" w:eastAsia="Calibri"/>
        <w:color w:val="666666"/>
        <w:sz w:val="18"/>
      </w:rPr>
      <w:t xml:space="preserve">Duoc UC · Proyecto La Puerta · Página </w:t>
    </w: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Calibri" w:hAnsi="Calibri" w:eastAsia="Calibri"/>
        <w:color w:val="666666"/>
        <w:sz w:val="18"/>
      </w:rPr>
      <w:t>Proyecto La Puerta · Estudio paralelo de investigación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  <w:jc w:val="both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40" w:line="276" w:lineRule="auto"/>
      <w:jc w:val="left"/>
      <w:outlineLvl w:val="0"/>
    </w:pPr>
    <w:rPr>
      <w:rFonts w:ascii="Calibri" w:hAnsi="Calibri" w:eastAsia="Calibri" w:cs="Calibri"/>
      <w:b/>
      <w:bCs/>
      <w:i w:val="0"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40" w:line="276" w:lineRule="auto"/>
      <w:jc w:val="left"/>
      <w:outlineLvl w:val="1"/>
    </w:pPr>
    <w:rPr>
      <w:rFonts w:ascii="Calibri" w:hAnsi="Calibri" w:eastAsia="Calibri" w:cs="Calibri"/>
      <w:b/>
      <w:bCs/>
      <w:i w:val="0"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40" w:line="276" w:lineRule="auto"/>
      <w:jc w:val="left"/>
      <w:outlineLvl w:val="2"/>
    </w:pPr>
    <w:rPr>
      <w:rFonts w:ascii="Calibri" w:hAnsi="Calibri" w:eastAsia="Calibri" w:cs="Calibri"/>
      <w:b/>
      <w:bCs/>
      <w:i w:val="0"/>
      <w:color w:val="6666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240" w:line="276" w:lineRule="auto"/>
      <w:jc w:val="left"/>
      <w:outlineLvl w:val="3"/>
    </w:pPr>
    <w:rPr>
      <w:rFonts w:ascii="Calibri" w:hAnsi="Calibri" w:eastAsia="Calibri" w:cs="Calibri"/>
      <w:b/>
      <w:bCs/>
      <w:i w:val="0"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