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sz w:val="28"/>
          <w:szCs w:val="28"/>
        </w:rPr>
        <w:t xml:space="preserve">Instituto Tecnológico de Buenos Aires (ITBA)</w:t>
      </w:r>
    </w:p>
    <w:p>
      <w:pPr>
        <w:spacing w:after="60"/>
        <w:jc w:val="center"/>
      </w:pPr>
      <w:r>
        <w:rPr>
          <w:rFonts w:ascii="Arial" w:cs="Arial" w:eastAsia="Arial" w:hAnsi="Arial"/>
          <w:sz w:val="24"/>
          <w:szCs w:val="24"/>
        </w:rPr>
        <w:t xml:space="preserve">16.30 – Proyecto Final de Carrera</w:t>
      </w:r>
    </w:p>
    <w:p>
      <w:pPr>
        <w:spacing w:after="60"/>
        <w:jc w:val="center"/>
      </w:pPr>
      <w:r>
        <w:rPr>
          <w:rFonts w:ascii="Arial" w:cs="Arial" w:eastAsia="Arial" w:hAnsi="Arial"/>
          <w:sz w:val="24"/>
          <w:szCs w:val="24"/>
        </w:rPr>
        <w:t xml:space="preserve">Bioingeniería</w:t>
      </w:r>
    </w:p>
    <w:p>
      <w:pPr>
        <w:spacing w:after="60"/>
      </w:pPr>
      <w:r>
        <w:t xml:space="preserve"/>
      </w:r>
    </w:p>
    <w:p>
      <w:pPr>
        <w:spacing w:after="60"/>
      </w:pPr>
      <w:r>
        <w:t xml:space="preserve"/>
      </w:r>
    </w:p>
    <w:p>
      <w:pPr>
        <w:spacing w:after="60"/>
      </w:pPr>
      <w:r>
        <w:t xml:space="preserve"/>
      </w:r>
    </w:p>
    <w:p>
      <w:pPr>
        <w:spacing w:after="240"/>
        <w:jc w:val="center"/>
      </w:pPr>
      <w:r>
        <w:rPr>
          <w:rFonts w:ascii="Arial" w:cs="Arial" w:eastAsia="Arial" w:hAnsi="Arial"/>
          <w:b/>
          <w:bCs/>
          <w:sz w:val="28"/>
          <w:szCs w:val="28"/>
        </w:rPr>
        <w:t xml:space="preserve">Diseño y desarrollo de un calzado instrumentado para la detección de anomalías de la marcha mediante aprendizaje automático en el borde y biofeedback háptico personalizado</w:t>
      </w:r>
    </w:p>
    <w:p>
      <w:pPr>
        <w:spacing w:after="60"/>
      </w:pPr>
      <w:r>
        <w:t xml:space="preserve"/>
      </w:r>
    </w:p>
    <w:p>
      <w:pPr>
        <w:spacing w:after="60"/>
      </w:pPr>
      <w:r>
        <w:t xml:space="preserve"/>
      </w:r>
    </w:p>
    <w:p>
      <w:pPr>
        <w:spacing w:after="60"/>
        <w:jc w:val="center"/>
      </w:pPr>
      <w:r>
        <w:rPr>
          <w:rFonts w:ascii="Arial" w:cs="Arial" w:eastAsia="Arial" w:hAnsi="Arial"/>
          <w:b/>
          <w:bCs/>
          <w:sz w:val="22"/>
          <w:szCs w:val="22"/>
        </w:rPr>
        <w:t xml:space="preserve">Autores:</w:t>
      </w:r>
    </w:p>
    <w:p>
      <w:pPr>
        <w:spacing w:after="30"/>
        <w:jc w:val="center"/>
      </w:pPr>
      <w:r>
        <w:rPr>
          <w:rFonts w:ascii="Arial" w:cs="Arial" w:eastAsia="Arial" w:hAnsi="Arial"/>
          <w:sz w:val="22"/>
          <w:szCs w:val="22"/>
        </w:rPr>
        <w:t xml:space="preserve">Azcueta Busco, Tobías – 63362</w:t>
      </w:r>
    </w:p>
    <w:p>
      <w:pPr>
        <w:spacing w:after="30"/>
        <w:jc w:val="center"/>
      </w:pPr>
      <w:r>
        <w:rPr>
          <w:rFonts w:ascii="Arial" w:cs="Arial" w:eastAsia="Arial" w:hAnsi="Arial"/>
          <w:sz w:val="22"/>
          <w:szCs w:val="22"/>
        </w:rPr>
        <w:t xml:space="preserve">Gramaglia, Juan Bautista – legajo</w:t>
      </w:r>
    </w:p>
    <w:p>
      <w:pPr>
        <w:spacing w:after="60"/>
      </w:pPr>
      <w:r>
        <w:t xml:space="preserve"/>
      </w:r>
    </w:p>
    <w:p>
      <w:pPr>
        <w:spacing w:after="30"/>
        <w:jc w:val="center"/>
      </w:pPr>
      <w:r>
        <w:rPr>
          <w:rFonts w:ascii="Arial" w:cs="Arial" w:eastAsia="Arial" w:hAnsi="Arial"/>
          <w:sz w:val="22"/>
          <w:szCs w:val="22"/>
        </w:rPr>
        <w:t xml:space="preserve">Docentes: Carbone, Corti, Espósito, Tajerian</w:t>
      </w:r>
    </w:p>
    <w:p>
      <w:pPr>
        <w:spacing w:after="30"/>
        <w:jc w:val="center"/>
      </w:pPr>
      <w:r>
        <w:rPr>
          <w:rFonts w:ascii="Arial" w:cs="Arial" w:eastAsia="Arial" w:hAnsi="Arial"/>
          <w:sz w:val="22"/>
          <w:szCs w:val="22"/>
        </w:rPr>
        <w:t xml:space="preserve">1º Cuatrimestre, 2026 — Buenos Aires, 2026</w:t>
      </w:r>
    </w:p>
    <w:p>
      <w:r>
        <w:br w:type="page"/>
      </w:r>
    </w:p>
    <w:p>
      <w:pPr>
        <w:pStyle w:val="Heading1"/>
        <w:spacing w:after="120" w:before="300"/>
      </w:pPr>
      <w:r>
        <w:rPr>
          <w:rFonts w:ascii="Arial" w:cs="Arial" w:eastAsia="Arial" w:hAnsi="Arial"/>
          <w:b/>
          <w:bCs/>
          <w:color w:val="1F3864"/>
          <w:sz w:val="26"/>
          <w:szCs w:val="26"/>
        </w:rPr>
        <w:t xml:space="preserve">1. Resumen del Proyecto</w:t>
      </w:r>
    </w:p>
    <w:p>
      <w:pPr>
        <w:spacing w:after="140" w:before="0" w:line="264"/>
        <w:jc w:val="both"/>
      </w:pPr>
      <w:r>
        <w:rPr>
          <w:rFonts w:ascii="Arial" w:cs="Arial" w:eastAsia="Arial" w:hAnsi="Arial"/>
          <w:sz w:val="22"/>
          <w:szCs w:val="22"/>
        </w:rPr>
        <w:t xml:space="preserve">El presente proyecto aborda la inestabilidad postural y el alto riesgo de caídas en pacientes con secuelas de Accidente Cerebrovascular (ACV). El objetivo es desarrollar un ecosistema tecnológico integrado compuesto por un calzado instrumentado (plantilla inteligente bilateral), una aplicación de escritorio de ejecución en tiempo real y un backend de entrenamiento personalizado.</w:t>
      </w:r>
    </w:p>
    <w:p>
      <w:pPr>
        <w:spacing w:after="140" w:before="0" w:line="264"/>
        <w:jc w:val="both"/>
      </w:pPr>
      <w:r>
        <w:rPr>
          <w:rFonts w:ascii="Arial" w:cs="Arial" w:eastAsia="Arial" w:hAnsi="Arial"/>
          <w:sz w:val="22"/>
          <w:szCs w:val="22"/>
        </w:rPr>
        <w:t xml:space="preserve">El sistema utiliza sensores inerciales (IMU) y sensores de fuerza resistiva (FSR) para capturar la dinámica de la marcha con precisión clínica fuera del laboratorio. La innovación radica en algoritmos de aprendizaje automático de tipo one-class que identifican anomalías a partir de un patrón basal personalizado, generado dinámicamente desde la propia marcha del paciente. La inferencia se ejecuta íntegramente en el borde (Edge AI), con latencias inferiores a 50 ms, lo que habilita una corrección vibrotáctil “en el paso”. El valor del proyecto reside en la transición del monitoreo desde entornos hospitalarios fijos hacia una red de seguridad digital de uso cotidiano, con una intervención personalizada de baja latencia.</w:t>
      </w:r>
    </w:p>
    <w:p>
      <w:pPr>
        <w:pStyle w:val="Heading1"/>
        <w:spacing w:after="120" w:before="300"/>
      </w:pPr>
      <w:r>
        <w:rPr>
          <w:rFonts w:ascii="Arial" w:cs="Arial" w:eastAsia="Arial" w:hAnsi="Arial"/>
          <w:b/>
          <w:bCs/>
          <w:color w:val="1F3864"/>
          <w:sz w:val="26"/>
          <w:szCs w:val="26"/>
        </w:rPr>
        <w:t xml:space="preserve">2. Introducción</w:t>
      </w:r>
    </w:p>
    <w:p>
      <w:pPr>
        <w:spacing w:after="140" w:before="0" w:line="264"/>
        <w:jc w:val="both"/>
      </w:pPr>
      <w:r>
        <w:rPr>
          <w:rFonts w:ascii="Arial" w:cs="Arial" w:eastAsia="Arial" w:hAnsi="Arial"/>
          <w:sz w:val="22"/>
          <w:szCs w:val="22"/>
        </w:rPr>
        <w:t xml:space="preserve">El Accidente Cerebrovascular (ACV) es la tercera causa de muerte y la segunda causa de discapacidad permanente en adultos a escala global [1]. Aproximadamente el 80 % de los sobrevivientes presenta hemiplejia por la pérdida del control central sobre el sistema motor, lo que deriva en un patrón de marcha hemipléjico característico [3]. El deterioro de la marcha es uno de los factores que más afecta la participación social, la autonomía y la calidad de vida del paciente, por lo que su rehabilitación es un aspecto crucial del manejo post-ACV.</w:t>
      </w:r>
    </w:p>
    <w:p>
      <w:pPr>
        <w:spacing w:after="140" w:before="0" w:line="264"/>
        <w:jc w:val="both"/>
      </w:pPr>
      <w:r>
        <w:rPr>
          <w:rFonts w:ascii="Arial" w:cs="Arial" w:eastAsia="Arial" w:hAnsi="Arial"/>
          <w:sz w:val="22"/>
          <w:szCs w:val="22"/>
        </w:rPr>
        <w:t xml:space="preserve">Las caídas constituyen el problema clínico más crítico asociado a esta marcha: cada caída incrementa el riesgo de fractura, hospitalización y dependencia. La intervención preventiva sobre el riesgo de caída tiene, por lo tanto, un valor clínico desproporcionadamente alto frente a su costo. Existe evidencia de que parámetros cuantitativos como la asimetría de carga interextremidad y la velocidad de oscilación postural permiten predecir el riesgo de caída post-ACV [2].</w:t>
      </w:r>
    </w:p>
    <w:p>
      <w:pPr>
        <w:spacing w:after="140" w:before="0" w:line="264"/>
        <w:jc w:val="both"/>
      </w:pPr>
      <w:r>
        <w:rPr>
          <w:rFonts w:ascii="Arial" w:cs="Arial" w:eastAsia="Arial" w:hAnsi="Arial"/>
          <w:sz w:val="22"/>
          <w:szCs w:val="22"/>
        </w:rPr>
        <w:t xml:space="preserve">La rehabilitación tradicional, realizada en clínicas con sesiones supervisadas, presenta tres limitaciones estructurales: cobertura temporal acotada a unas pocas horas semanales, evaluación subjetiva dependiente del observador, y la carga logística que implica el traslado frecuente para pacientes con dificultad para movilizarse [3]. La marcha en condiciones reales del hogar puede diferir sustancialmente de la observada en el laboratorio.</w:t>
      </w:r>
    </w:p>
    <w:p>
      <w:pPr>
        <w:spacing w:after="140" w:before="0" w:line="264"/>
        <w:jc w:val="both"/>
      </w:pPr>
      <w:r>
        <w:rPr>
          <w:rFonts w:ascii="Arial" w:cs="Arial" w:eastAsia="Arial" w:hAnsi="Arial"/>
          <w:sz w:val="22"/>
          <w:szCs w:val="22"/>
        </w:rPr>
        <w:t xml:space="preserve">Los dispositivos wearable han emergido como la categoría disruptiva: portables, asequibles y capaces de recolectar datos en condiciones de vida real con monitoreo continuo. La evidencia demuestra que las plantillas inteligentes con sensores IMU permiten medir parámetros espacio-temporales de marcha con coeficientes de correlación intraclase (ICC) superiores a 0,90 respecto al gold standard de captura óptica de movimiento [5], y que un sistema de biofeedback vibrotáctil integrado en el calzado mejora de forma inmediata el patrón de marcha hemipléjico [4].</w:t>
      </w:r>
    </w:p>
    <w:p>
      <w:pPr>
        <w:spacing w:after="140" w:before="0" w:line="264"/>
        <w:jc w:val="both"/>
      </w:pPr>
      <w:r>
        <w:rPr>
          <w:rFonts w:ascii="Arial" w:cs="Arial" w:eastAsia="Arial" w:hAnsi="Arial"/>
          <w:sz w:val="22"/>
          <w:szCs w:val="22"/>
        </w:rPr>
        <w:t xml:space="preserve">Sin embargo, persiste una brecha tecnológica. Los modelos genéricos de inteligencia artificial entrenados sobre poblaciones presentan una performance próxima al azar en esta población debido a la alta heterogeneidad de los patrones motores, mientras que los modelos personalizados por sujeto alcanzan exactitudes superiores al 97 % [9]. Esto justifica un sistema capaz de construir un patrón basal personalizado (ground truth) para cada paciente. El presente proyecto propone cerrar esa brecha mediante una plantilla inteligente bilateral que opera con procesamiento íntegramente en el borde, detecta desviaciones respecto a una línea de base individual y activa en tiempo real un actuador vibrotáctil para corregir el paso.</w:t>
      </w:r>
    </w:p>
    <w:p>
      <w:pPr>
        <w:spacing w:after="140" w:before="0" w:line="264"/>
        <w:jc w:val="both"/>
      </w:pPr>
      <w:r>
        <w:rPr>
          <w:rFonts w:ascii="Arial" w:cs="Arial" w:eastAsia="Arial" w:hAnsi="Arial"/>
          <w:sz w:val="22"/>
          <w:szCs w:val="22"/>
        </w:rPr>
        <w:t xml:space="preserve">El trabajo se organiza del siguiente modo: la Sección 3 fundamenta la elección del tema; la Sección 4 desarrolla el marco teórico; la Sección 5 define los objetivos; y las secciones siguientes describen la metodología preliminar, la planificación, el costo y las referencias.</w:t>
      </w:r>
    </w:p>
    <w:p>
      <w:pPr>
        <w:pStyle w:val="Heading1"/>
        <w:spacing w:after="120" w:before="300"/>
      </w:pPr>
      <w:r>
        <w:rPr>
          <w:rFonts w:ascii="Arial" w:cs="Arial" w:eastAsia="Arial" w:hAnsi="Arial"/>
          <w:b/>
          <w:bCs/>
          <w:color w:val="1F3864"/>
          <w:sz w:val="26"/>
          <w:szCs w:val="26"/>
        </w:rPr>
        <w:t xml:space="preserve">3. Justificación</w:t>
      </w:r>
    </w:p>
    <w:p>
      <w:pPr>
        <w:spacing w:after="140" w:before="0" w:line="264"/>
        <w:jc w:val="both"/>
      </w:pPr>
      <w:r>
        <w:rPr>
          <w:rFonts w:ascii="Arial" w:cs="Arial" w:eastAsia="Arial" w:hAnsi="Arial"/>
          <w:sz w:val="22"/>
          <w:szCs w:val="22"/>
        </w:rPr>
        <w:t xml:space="preserve">La elección del tema responde a la intersección de una necesidad clínica urgente, una oportunidad tecnológica madura y una brecha específica en el estado del arte que el proyecto puede contribuir a cubrir.</w:t>
      </w:r>
    </w:p>
    <w:p>
      <w:pPr>
        <w:pStyle w:val="Heading2"/>
        <w:spacing w:after="70" w:before="180"/>
      </w:pPr>
      <w:r>
        <w:rPr>
          <w:rFonts w:ascii="Arial" w:cs="Arial" w:eastAsia="Arial" w:hAnsi="Arial"/>
          <w:b/>
          <w:bCs/>
          <w:color w:val="2E75B6"/>
          <w:sz w:val="23"/>
          <w:szCs w:val="23"/>
        </w:rPr>
        <w:t xml:space="preserve">3.1 Relevancia clínica</w:t>
      </w:r>
    </w:p>
    <w:p>
      <w:pPr>
        <w:spacing w:after="140" w:before="0" w:line="264"/>
        <w:jc w:val="both"/>
      </w:pPr>
      <w:r>
        <w:rPr>
          <w:rFonts w:ascii="Arial" w:cs="Arial" w:eastAsia="Arial" w:hAnsi="Arial"/>
          <w:sz w:val="22"/>
          <w:szCs w:val="22"/>
        </w:rPr>
        <w:t xml:space="preserve">El ACV es la principal causa de discapacidad motora a largo plazo. La marcha hemipléjica presenta alteraciones biomecánicas bien documentadas — disminución de la velocidad, asimetría interextremidad, déficit de propulsión, inversión excesiva del pie afectado y mayor variabilidad zancada-a-zancada [8] — que no solo son clínicamente relevantes en sí mismas, sino que funcionan como predictores cuantificables del riesgo de caída [2]. La rehabilitación clínica carece de herramientas para evaluar al paciente fuera de la sesión supervisada; un dispositivo de uso domiciliario con monitoreo continuo y alerta temprana representa un salto cualitativo en la cobertura del seguimiento.</w:t>
      </w:r>
    </w:p>
    <w:p>
      <w:pPr>
        <w:pStyle w:val="Heading2"/>
        <w:spacing w:after="70" w:before="180"/>
      </w:pPr>
      <w:r>
        <w:rPr>
          <w:rFonts w:ascii="Arial" w:cs="Arial" w:eastAsia="Arial" w:hAnsi="Arial"/>
          <w:b/>
          <w:bCs/>
          <w:color w:val="2E75B6"/>
          <w:sz w:val="23"/>
          <w:szCs w:val="23"/>
        </w:rPr>
        <w:t xml:space="preserve">3.2 Oportunidad tecnológica</w:t>
      </w:r>
    </w:p>
    <w:p>
      <w:pPr>
        <w:spacing w:after="140" w:before="0" w:line="264"/>
        <w:jc w:val="both"/>
      </w:pPr>
      <w:r>
        <w:rPr>
          <w:rFonts w:ascii="Arial" w:cs="Arial" w:eastAsia="Arial" w:hAnsi="Arial"/>
          <w:sz w:val="22"/>
          <w:szCs w:val="22"/>
        </w:rPr>
        <w:t xml:space="preserve">El avance en sensores MEMS de ultra bajo consumo, microcontroladores con unidad de punto flotante y el paradigma de Edge AI permite hoy ejecutar modelos de aprendizaje automático directamente en el dispositivo, con latencias inferiores a 50 ms y sin dependencia de conectividad a la nube [13]. Esto habilita un biofeedback verdaderamente en tiempo real, indispensable para que la corrección del paso sea relevante dentro del mismo ciclo de marcha en que ocurre la anomalía. La categoría de plantillas inteligentes con sensores FSR e IMU ya ha sido validada clínicamente contra referencias de laboratorio [5][7], y la configuración bilateral añade el cálculo directo de índices de simetría interextremidad, justamente los marcadores más discriminativos en la marcha hemipléjica.</w:t>
      </w:r>
    </w:p>
    <w:p>
      <w:pPr>
        <w:pStyle w:val="Heading2"/>
        <w:spacing w:after="70" w:before="180"/>
      </w:pPr>
      <w:r>
        <w:rPr>
          <w:rFonts w:ascii="Arial" w:cs="Arial" w:eastAsia="Arial" w:hAnsi="Arial"/>
          <w:b/>
          <w:bCs/>
          <w:color w:val="2E75B6"/>
          <w:sz w:val="23"/>
          <w:szCs w:val="23"/>
        </w:rPr>
        <w:t xml:space="preserve">3.3 Brecha en el estado del arte</w:t>
      </w:r>
    </w:p>
    <w:p>
      <w:pPr>
        <w:spacing w:after="140" w:before="0" w:line="264"/>
        <w:jc w:val="both"/>
      </w:pPr>
      <w:r>
        <w:rPr>
          <w:rFonts w:ascii="Arial" w:cs="Arial" w:eastAsia="Arial" w:hAnsi="Arial"/>
          <w:sz w:val="22"/>
          <w:szCs w:val="22"/>
        </w:rPr>
        <w:t xml:space="preserve">Los trabajos existentes abordan parcialmente el problema. Los sistemas de biofeedback vibrotáctil validados en ACV emplean lógica de umbral simple sin detección de anomalías [4]; los sistemas con detección de anomalías adaptativa no incorporan plantilla bilateral ni biofeedback [12]; y las arquitecturas Edge AI más sofisticadas no tienen foco específico en ACV ni en personalización one-class [13]. La contribución original del proyecto reside en integrar, en un único dispositivo autónomo y de bajo costo, cuatro elementos que rara vez aparecen juntos: sensado bilateral FSR + IMU, detección de anomalías one-class con patrón basal personalizado y adaptativo, inferencia íntegramente en el borde y biofeedback vibrotáctil cerrado con patrones diferenciados.</w:t>
      </w:r>
    </w:p>
    <w:p>
      <w:pPr>
        <w:pStyle w:val="Heading2"/>
        <w:spacing w:after="70" w:before="180"/>
      </w:pPr>
      <w:r>
        <w:rPr>
          <w:rFonts w:ascii="Arial" w:cs="Arial" w:eastAsia="Arial" w:hAnsi="Arial"/>
          <w:b/>
          <w:bCs/>
          <w:color w:val="2E75B6"/>
          <w:sz w:val="23"/>
          <w:szCs w:val="23"/>
        </w:rPr>
        <w:t xml:space="preserve">3.4 Pertinencia para la Bioingeniería</w:t>
      </w:r>
    </w:p>
    <w:p>
      <w:pPr>
        <w:spacing w:after="140" w:before="0" w:line="264"/>
        <w:jc w:val="both"/>
      </w:pPr>
      <w:r>
        <w:rPr>
          <w:rFonts w:ascii="Arial" w:cs="Arial" w:eastAsia="Arial" w:hAnsi="Arial"/>
          <w:sz w:val="22"/>
          <w:szCs w:val="22"/>
        </w:rPr>
        <w:t xml:space="preserve">El proyecto se inscribe de manera directa en el perfil de la carrera al integrar tres dimensiones: el conocimiento clínico-biomecánico de la marcha post-ACV, la ingeniería electrónica y de firmware para el diseño del wearable, y el procesamiento de señales biomédicas y el aprendizaje automático para la detección de anomalías. El resultado es un prototipo funcional validable, con un protocolo experimental replicable y potencial de transferencia directa al ámbito clínico.</w:t>
      </w:r>
    </w:p>
    <w:p>
      <w:pPr>
        <w:pStyle w:val="Heading1"/>
        <w:spacing w:after="120" w:before="300"/>
      </w:pPr>
      <w:r>
        <w:rPr>
          <w:rFonts w:ascii="Arial" w:cs="Arial" w:eastAsia="Arial" w:hAnsi="Arial"/>
          <w:b/>
          <w:bCs/>
          <w:color w:val="1F3864"/>
          <w:sz w:val="26"/>
          <w:szCs w:val="26"/>
        </w:rPr>
        <w:t xml:space="preserve">4. Marco Teórico</w:t>
      </w:r>
    </w:p>
    <w:p>
      <w:pPr>
        <w:spacing w:after="140" w:before="0" w:line="264"/>
        <w:jc w:val="both"/>
      </w:pPr>
      <w:r>
        <w:rPr>
          <w:rFonts w:ascii="Arial" w:cs="Arial" w:eastAsia="Arial" w:hAnsi="Arial"/>
          <w:sz w:val="22"/>
          <w:szCs w:val="22"/>
        </w:rPr>
        <w:t xml:space="preserve">El marco teórico se organiza en cinco ejes que sustentan las decisiones metodológicas del proyecto: el contexto clínico de la marcha hemipléjica, la sensórica de medición, los parámetros y características de análisis, los algoritmos de detección de anomalías y el biofeedback vibrotáctil. Se desarrollan únicamente los conceptos que tienen correlato directo en la metodología propuesta.</w:t>
      </w:r>
    </w:p>
    <w:p>
      <w:pPr>
        <w:pStyle w:val="Heading2"/>
        <w:spacing w:after="70" w:before="180"/>
      </w:pPr>
      <w:r>
        <w:rPr>
          <w:rFonts w:ascii="Arial" w:cs="Arial" w:eastAsia="Arial" w:hAnsi="Arial"/>
          <w:b/>
          <w:bCs/>
          <w:color w:val="2E75B6"/>
          <w:sz w:val="23"/>
          <w:szCs w:val="23"/>
        </w:rPr>
        <w:t xml:space="preserve">4.1 Marcha hemipléjica post-ACV</w:t>
      </w:r>
    </w:p>
    <w:p>
      <w:pPr>
        <w:spacing w:after="140" w:before="0" w:line="264"/>
        <w:jc w:val="both"/>
      </w:pPr>
      <w:r>
        <w:rPr>
          <w:rFonts w:ascii="Arial" w:cs="Arial" w:eastAsia="Arial" w:hAnsi="Arial"/>
          <w:sz w:val="22"/>
          <w:szCs w:val="22"/>
        </w:rPr>
        <w:t xml:space="preserve">La marcha post-ACV presenta un conjunto consistente de alteraciones. El lado parético utiliza predominantemente las regiones laterales del pie y es incapaz de activar las regiones anteromediales, lo que resulta en un push-off (propulsión) drásticamente reducido; además, el pie afectado se invierte en exceso, reduciendo el área de contacto medial y desestabilizando el balance en mid-stance [8][4]. La duración del doble apoyo y de la fase de stance aumentan como compensación de la inestabilidad. La asimetría interextremidad se confirma en prácticamente todas las variables de marcha excepto en el tiempo total de zancada, que tiende a igualarse por la sincronía del ciclo [8]; esta observación indica qué métricas conviene comparar bilateralmente. Finalmente, el coeficiente de variación del tiempo de stance — que refleja la pérdida de control fino del patrón motor — es uno de los rasgos más discriminativos para distinguir marcha post-ACV de marcha sana [1].</w:t>
      </w:r>
    </w:p>
    <w:p>
      <w:pPr>
        <w:pStyle w:val="Heading2"/>
        <w:spacing w:after="70" w:before="180"/>
      </w:pPr>
      <w:r>
        <w:rPr>
          <w:rFonts w:ascii="Arial" w:cs="Arial" w:eastAsia="Arial" w:hAnsi="Arial"/>
          <w:b/>
          <w:bCs/>
          <w:color w:val="2E75B6"/>
          <w:sz w:val="23"/>
          <w:szCs w:val="23"/>
        </w:rPr>
        <w:t xml:space="preserve">4.2 Sensórica: FSR e IMU</w:t>
      </w:r>
    </w:p>
    <w:p>
      <w:pPr>
        <w:spacing w:after="140" w:before="0" w:line="264"/>
        <w:jc w:val="both"/>
      </w:pPr>
      <w:r>
        <w:rPr>
          <w:rFonts w:ascii="Arial" w:cs="Arial" w:eastAsia="Arial" w:hAnsi="Arial"/>
          <w:b/>
          <w:bCs/>
          <w:sz w:val="22"/>
          <w:szCs w:val="22"/>
        </w:rPr>
        <w:t xml:space="preserve">Sensores de fuerza resistiva (FSR). </w:t>
      </w:r>
      <w:r>
        <w:rPr>
          <w:rFonts w:ascii="Arial" w:cs="Arial" w:eastAsia="Arial" w:hAnsi="Arial"/>
          <w:sz w:val="22"/>
          <w:szCs w:val="22"/>
        </w:rPr>
        <w:t xml:space="preserve">Son sensores de presión poliméricos cuya resistencia eléctrica decrece al comprimirse, leídos mediante un divisor de tensión y un conversor analógico-digital. Su respuesta es no lineal (aprox. logarítmica) y presenta histéresis y drift, por lo que requieren una curva de calibración por sensor. Con 3–4 FSR ubicados en talón y antepié (medial y lateral) se cubren los marcadores patológicos esenciales: el déficit de propulsión y la inversión medial-lateral del pie [15][8]. La evidencia indica que, a bajas frecuencias de muestreo, las características derivadas de FSR conservan más información discriminativa para la detección de fases que las del IMU [15].</w:t>
      </w:r>
    </w:p>
    <w:p>
      <w:pPr>
        <w:spacing w:after="140" w:before="0" w:line="264"/>
        <w:jc w:val="both"/>
      </w:pPr>
      <w:r>
        <w:rPr>
          <w:rFonts w:ascii="Arial" w:cs="Arial" w:eastAsia="Arial" w:hAnsi="Arial"/>
          <w:b/>
          <w:bCs/>
          <w:sz w:val="22"/>
          <w:szCs w:val="22"/>
        </w:rPr>
        <w:t xml:space="preserve">Unidades de medición inercial (IMU). </w:t>
      </w:r>
      <w:r>
        <w:rPr>
          <w:rFonts w:ascii="Arial" w:cs="Arial" w:eastAsia="Arial" w:hAnsi="Arial"/>
          <w:sz w:val="22"/>
          <w:szCs w:val="22"/>
        </w:rPr>
        <w:t xml:space="preserve">Integran acelerómetro y giróscopo triaxiales (6-DOF) y miden la cinemática del pie durante la fase de vuelo (swing). Su limitación fundamental es el drift acumulativo al integrar las señales para estimar orientación o posición; la técnica estándar de corrección es el Zero-Velocity Update (ZUPT), que asume velocidad nula durante el apoyo del pie, validable justamente por los FSR [10]. La posición óptima del IMU es una cavidad bajo el arco del pie, ya que minimiza el ruido por golpes laterales y mantiene al sensor solidario con el segmento rígido [9]. Se adopta una frecuencia de muestreo de 100 Hz, valor consolidado en la literatura clínica de plantillas para ACV [17].</w:t>
      </w:r>
    </w:p>
    <w:p>
      <w:pPr>
        <w:spacing w:after="140" w:before="0" w:line="264"/>
        <w:jc w:val="both"/>
      </w:pPr>
      <w:r>
        <w:rPr>
          <w:rFonts w:ascii="Arial" w:cs="Arial" w:eastAsia="Arial" w:hAnsi="Arial"/>
          <w:sz w:val="22"/>
          <w:szCs w:val="22"/>
        </w:rPr>
        <w:t xml:space="preserve">La complementariedad entre ambos sensores es estructural: el FSR mide la interfaz pie-piso (cuándo y cómo se establece el contacto, robusto al drift) mientras que el IMU mide la cinemática del pie en vuelo. La fusión de ambos permite una detección robusta de los eventos de marcha (heel-strike y toe-off), cruzando la detección por umbral de los FSR con la confirmación cinemática del IMU. Esta combinación ha sido aplicada específicamente a la evaluación de marcha hemipléjica correlacionándola con escalas clínicas reconocidas [16].</w:t>
      </w:r>
    </w:p>
    <w:p>
      <w:pPr>
        <w:pStyle w:val="Heading2"/>
        <w:spacing w:after="70" w:before="180"/>
      </w:pPr>
      <w:r>
        <w:rPr>
          <w:rFonts w:ascii="Arial" w:cs="Arial" w:eastAsia="Arial" w:hAnsi="Arial"/>
          <w:b/>
          <w:bCs/>
          <w:color w:val="2E75B6"/>
          <w:sz w:val="23"/>
          <w:szCs w:val="23"/>
        </w:rPr>
        <w:t xml:space="preserve">4.3 Parámetros de marcha y extracción de características</w:t>
      </w:r>
    </w:p>
    <w:p>
      <w:pPr>
        <w:spacing w:after="140" w:before="0" w:line="264"/>
        <w:jc w:val="both"/>
      </w:pPr>
      <w:r>
        <w:rPr>
          <w:rFonts w:ascii="Arial" w:cs="Arial" w:eastAsia="Arial" w:hAnsi="Arial"/>
          <w:sz w:val="22"/>
          <w:szCs w:val="22"/>
        </w:rPr>
        <w:t xml:space="preserve">El análisis cuantitativo se construye sobre un núcleo consolidado de parámetros espacio-temporales — velocidad, cadencia, longitud de zancada, tiempo de zancada y tiempo de stance — medibles con ICC &gt; 0,90 en plantillas inteligentes [5][7]. Trabajar con características (features) extraídas, en lugar de alimentar las señales crudas al clasificador, ofrece tres ventajas: reducción de la dimensionalidad, interpretabilidad clínica de cada variable y compatibilidad con algoritmos ligeros viables en hardware embebido [3].</w:t>
      </w:r>
    </w:p>
    <w:p>
      <w:pPr>
        <w:spacing w:after="140" w:before="0" w:line="264"/>
        <w:jc w:val="both"/>
      </w:pPr>
      <w:r>
        <w:rPr>
          <w:rFonts w:ascii="Arial" w:cs="Arial" w:eastAsia="Arial" w:hAnsi="Arial"/>
          <w:sz w:val="22"/>
          <w:szCs w:val="22"/>
        </w:rPr>
        <w:t xml:space="preserve">La evidencia empírica más robusta sobre features discriminativos en ACV [1] (N = 85 pacientes y 97 controles) demostró, mediante clasificación supervisada y clustering no supervisado, que apenas tres características — la razón armónica mejorada mediolateral, el coeficiente de variación del stance y la velocidad de zancada — alcanzan un 90 % de exactitud, y que nueve características elevan la exactitud al 96,7 % con SVM. Este resultado implica que el problema de discriminación es de baja dimensionalidad, lo que favorece su implementación embebida. Para el riesgo de caída, los cruces por cero de la velocidad del centro de presión mediolateral figuran entre los rasgos más discriminativos [2]. Sobre esta base, el proyecto adopta una estrategia progresiva: un vector mínimo de características espacio-temporales y de variabilidad, ampliado luego con características de presión plantar y de simetría interextremidad específicas de ACV.</w:t>
      </w:r>
    </w:p>
    <w:p>
      <w:pPr>
        <w:pStyle w:val="Heading2"/>
        <w:spacing w:after="70" w:before="180"/>
      </w:pPr>
      <w:r>
        <w:rPr>
          <w:rFonts w:ascii="Arial" w:cs="Arial" w:eastAsia="Arial" w:hAnsi="Arial"/>
          <w:b/>
          <w:bCs/>
          <w:color w:val="2E75B6"/>
          <w:sz w:val="23"/>
          <w:szCs w:val="23"/>
        </w:rPr>
        <w:t xml:space="preserve">4.4 Detección de anomalías one-class personalizada</w:t>
      </w:r>
    </w:p>
    <w:p>
      <w:pPr>
        <w:spacing w:after="140" w:before="0" w:line="264"/>
        <w:jc w:val="both"/>
      </w:pPr>
      <w:r>
        <w:rPr>
          <w:rFonts w:ascii="Arial" w:cs="Arial" w:eastAsia="Arial" w:hAnsi="Arial"/>
          <w:sz w:val="22"/>
          <w:szCs w:val="22"/>
        </w:rPr>
        <w:t xml:space="preserve">La detección se formaliza como un problema one-class (novelty detection): a partir de un conjunto de zancadas de marcha normal del propio paciente, recolectado en una sesión de calibración inicial, se construye un modelo de normalidad personalizado que alerta cuando una nueva zancada se desvía significativamente de él. Esta formulación es preferible a la clasificación binaria supervisada porque las anomalías son, por definición, raras e impredecibles, y porque la variabilidad inter-individual hace fracasar a los modelos genéricos. La evidencia cuantifica este fenómeno de forma directa: un modelo global entrenado sobre toda la población alcanzó solo un 55 % de exactitud, mientras que un modelo personalizado llegó al 97,7 % y un clasificador one-class entrenado únicamente con marcha normal del propio sujeto obtuvo un AUC de 0,967 [9].</w:t>
      </w:r>
    </w:p>
    <w:p>
      <w:pPr>
        <w:spacing w:after="140" w:before="0" w:line="264"/>
        <w:jc w:val="both"/>
      </w:pPr>
      <w:r>
        <w:rPr>
          <w:rFonts w:ascii="Arial" w:cs="Arial" w:eastAsia="Arial" w:hAnsi="Arial"/>
          <w:sz w:val="22"/>
          <w:szCs w:val="22"/>
        </w:rPr>
        <w:t xml:space="preserve">Los algoritmos candidatos, ordenados por complejidad creciente, son: distancia de Mahalanobis multivariada (implementación trivial, latencia de microsegundos), Isolation Forest, autoencoder denso cuantizado y, como techo de complejidad, un autoencoder LSTM con aprendizaje online adaptativo [12]. La adaptación online es un mecanismo necesario, no un lujo, particularmente en ACV donde el paciente puede mostrar recuperación funcional sustancial en semanas: el modelo se actualiza continuamente con las zancadas clasificadas como normales para acompañar el drift natural del patrón motor [12]. La evaluación comparativa de estos algoritmos en exactitud, latencia y uso de memoria constituye uno de los objetivos experimentales del proyecto.</w:t>
      </w:r>
    </w:p>
    <w:p>
      <w:pPr>
        <w:pStyle w:val="Heading2"/>
        <w:spacing w:after="70" w:before="180"/>
      </w:pPr>
      <w:r>
        <w:rPr>
          <w:rFonts w:ascii="Arial" w:cs="Arial" w:eastAsia="Arial" w:hAnsi="Arial"/>
          <w:b/>
          <w:bCs/>
          <w:color w:val="2E75B6"/>
          <w:sz w:val="23"/>
          <w:szCs w:val="23"/>
        </w:rPr>
        <w:t xml:space="preserve">4.5 Edge AI y biofeedback vibrotáctil</w:t>
      </w:r>
    </w:p>
    <w:p>
      <w:pPr>
        <w:spacing w:after="140" w:before="0" w:line="264"/>
        <w:jc w:val="both"/>
      </w:pPr>
      <w:r>
        <w:rPr>
          <w:rFonts w:ascii="Arial" w:cs="Arial" w:eastAsia="Arial" w:hAnsi="Arial"/>
          <w:sz w:val="22"/>
          <w:szCs w:val="22"/>
        </w:rPr>
        <w:t xml:space="preserve">La inferencia se ejecuta íntegramente en el dispositivo (Edge AI) para evitar la latencia del round-trip a la nube, garantizar el funcionamiento sin conectividad y preservar la privacidad de datos sensibles [13]. El procesador objetivo es un microcontrolador comercial de bajo costo, sobre el que los algoritmos del pipeline (Mahalanobis, Isolation Forest, autoencoder denso) caben sin tensión, empleando cuantización a entero de 8 bits para la inferencia.</w:t>
      </w:r>
    </w:p>
    <w:p>
      <w:pPr>
        <w:spacing w:after="140" w:before="0" w:line="264"/>
        <w:jc w:val="both"/>
      </w:pPr>
      <w:r>
        <w:rPr>
          <w:rFonts w:ascii="Arial" w:cs="Arial" w:eastAsia="Arial" w:hAnsi="Arial"/>
          <w:sz w:val="22"/>
          <w:szCs w:val="22"/>
        </w:rPr>
        <w:t xml:space="preserve">El biofeedback devuelve al usuario, en tiempo real, información sobre eventos que no percibe por sí mismo. La modalidad vibrotáctil es apropiada para la marcha porque no satura la visión ni la audición — necesarias para la orientación y la seguridad —, es discreta y tiene inmediatez somatosensorial sobre el sitio del problema. Existe evidencia clínica directa de su efectividad: un sistema de biofeedback vibrotáctil por umbral redujo la inversión del pie afectado, aumentó el área de contacto plantar y produjo un efecto de reequilibrio bilateral en pacientes con ACV [4]. El feedback basado en patrones modulados resulta más útil que las alertas simples [18], pero debe ser escaso en frecuencia: el biofeedback continuo impone una carga cognitiva detectable en adultos mayores [19], por lo que el diseño contempla activación selectiva, solo cuando la anomalía supera un umbral claro, y patrones calibrables por paciente.</w:t>
      </w:r>
    </w:p>
    <w:p>
      <w:pPr>
        <w:pStyle w:val="Heading1"/>
        <w:spacing w:after="120" w:before="300"/>
      </w:pPr>
      <w:r>
        <w:rPr>
          <w:rFonts w:ascii="Arial" w:cs="Arial" w:eastAsia="Arial" w:hAnsi="Arial"/>
          <w:b/>
          <w:bCs/>
          <w:color w:val="1F3864"/>
          <w:sz w:val="26"/>
          <w:szCs w:val="26"/>
        </w:rPr>
        <w:t xml:space="preserve">5. Objetivos</w:t>
      </w:r>
    </w:p>
    <w:p>
      <w:pPr>
        <w:pStyle w:val="Heading2"/>
        <w:spacing w:after="70" w:before="180"/>
      </w:pPr>
      <w:r>
        <w:rPr>
          <w:rFonts w:ascii="Arial" w:cs="Arial" w:eastAsia="Arial" w:hAnsi="Arial"/>
          <w:b/>
          <w:bCs/>
          <w:color w:val="2E75B6"/>
          <w:sz w:val="23"/>
          <w:szCs w:val="23"/>
        </w:rPr>
        <w:t xml:space="preserve">5.1 Objetivo General</w:t>
      </w:r>
    </w:p>
    <w:p>
      <w:pPr>
        <w:spacing w:after="140" w:before="0" w:line="264"/>
        <w:jc w:val="both"/>
      </w:pPr>
      <w:r>
        <w:rPr>
          <w:rFonts w:ascii="Arial" w:cs="Arial" w:eastAsia="Arial" w:hAnsi="Arial"/>
          <w:sz w:val="22"/>
          <w:szCs w:val="22"/>
        </w:rPr>
        <w:t xml:space="preserve">Diseño y desarrollo de una zapatilla inteligente para la captura (MoCap) y caracterización del patrón de marcha, mediante la experimentación con algoritmos de detección de anomalías basados en la comparación dinámica de desviaciones respecto a un patrón de referencia adaptativo.</w:t>
      </w:r>
    </w:p>
    <w:p>
      <w:pPr>
        <w:pStyle w:val="Heading2"/>
        <w:spacing w:after="70" w:before="180"/>
      </w:pPr>
      <w:r>
        <w:rPr>
          <w:rFonts w:ascii="Arial" w:cs="Arial" w:eastAsia="Arial" w:hAnsi="Arial"/>
          <w:b/>
          <w:bCs/>
          <w:color w:val="2E75B6"/>
          <w:sz w:val="23"/>
          <w:szCs w:val="23"/>
        </w:rPr>
        <w:t xml:space="preserve">5.2 Objetivos de Mínima</w:t>
      </w:r>
    </w:p>
    <w:p>
      <w:pPr>
        <w:pStyle w:val="ListParagraph"/>
        <w:numPr>
          <w:ilvl w:val="0"/>
          <w:numId w:val="2"/>
        </w:numPr>
        <w:spacing w:after="30" w:before="30" w:line="264"/>
        <w:jc w:val="both"/>
      </w:pPr>
      <w:r>
        <w:rPr>
          <w:rFonts w:ascii="Arial" w:cs="Arial" w:eastAsia="Arial" w:hAnsi="Arial"/>
          <w:sz w:val="22"/>
          <w:szCs w:val="22"/>
        </w:rPr>
        <w:t xml:space="preserve">Desarrollar un dispositivo wearable integrado en el calzado, capaz de medir variables relevantes de la marcha (aceleración, orientación del pie y eventos de contacto/apoyo) y transmitir los datos hacia una computadora cercana para su posterior análisis.</w:t>
      </w:r>
    </w:p>
    <w:p>
      <w:pPr>
        <w:pStyle w:val="ListParagraph"/>
        <w:numPr>
          <w:ilvl w:val="0"/>
          <w:numId w:val="2"/>
        </w:numPr>
        <w:spacing w:after="30" w:before="30" w:line="264"/>
        <w:jc w:val="both"/>
      </w:pPr>
      <w:r>
        <w:rPr>
          <w:rFonts w:ascii="Arial" w:cs="Arial" w:eastAsia="Arial" w:hAnsi="Arial"/>
          <w:sz w:val="22"/>
          <w:szCs w:val="22"/>
        </w:rPr>
        <w:t xml:space="preserve">Diseñar un protocolo de calibración validado mediante estándares clínicos para la obtención de un patrón basal certificado (ground truth) que fundamente la personalización científica de los algoritmos de detección.</w:t>
      </w:r>
    </w:p>
    <w:p>
      <w:pPr>
        <w:pStyle w:val="ListParagraph"/>
        <w:numPr>
          <w:ilvl w:val="0"/>
          <w:numId w:val="2"/>
        </w:numPr>
        <w:spacing w:after="30" w:before="30" w:line="264"/>
        <w:jc w:val="both"/>
      </w:pPr>
      <w:r>
        <w:rPr>
          <w:rFonts w:ascii="Arial" w:cs="Arial" w:eastAsia="Arial" w:hAnsi="Arial"/>
          <w:sz w:val="22"/>
          <w:szCs w:val="22"/>
        </w:rPr>
        <w:t xml:space="preserve">Implementar el software necesario para recibir, almacenar y procesar los datos provenientes del calzado durante las sesiones experimentales, de manera que sirvan de soporte a las distintas instancias de experimentación.</w:t>
      </w:r>
    </w:p>
    <w:p>
      <w:pPr>
        <w:pStyle w:val="ListParagraph"/>
        <w:numPr>
          <w:ilvl w:val="0"/>
          <w:numId w:val="2"/>
        </w:numPr>
        <w:spacing w:after="30" w:before="30" w:line="264"/>
        <w:jc w:val="both"/>
      </w:pPr>
      <w:r>
        <w:rPr>
          <w:rFonts w:ascii="Arial" w:cs="Arial" w:eastAsia="Arial" w:hAnsi="Arial"/>
          <w:sz w:val="22"/>
          <w:szCs w:val="22"/>
        </w:rPr>
        <w:t xml:space="preserve">Diseñar y llevar adelante experimentos orientados a evaluar la capacidad del sistema desarrollado para detectar anomalías en el patrón de marcha, explorando para ello técnicas de extracción de características y de aprendizaje automático.</w:t>
      </w:r>
    </w:p>
    <w:p>
      <w:pPr>
        <w:pStyle w:val="Heading2"/>
        <w:spacing w:after="70" w:before="180"/>
      </w:pPr>
      <w:r>
        <w:rPr>
          <w:rFonts w:ascii="Arial" w:cs="Arial" w:eastAsia="Arial" w:hAnsi="Arial"/>
          <w:b/>
          <w:bCs/>
          <w:color w:val="2E75B6"/>
          <w:sz w:val="23"/>
          <w:szCs w:val="23"/>
        </w:rPr>
        <w:t xml:space="preserve">5.3 Objetivos de Máxima</w:t>
      </w:r>
    </w:p>
    <w:p>
      <w:pPr>
        <w:pStyle w:val="ListParagraph"/>
        <w:numPr>
          <w:ilvl w:val="0"/>
          <w:numId w:val="2"/>
        </w:numPr>
        <w:spacing w:after="30" w:before="30" w:line="264"/>
        <w:jc w:val="both"/>
      </w:pPr>
      <w:r>
        <w:rPr>
          <w:rFonts w:ascii="Arial" w:cs="Arial" w:eastAsia="Arial" w:hAnsi="Arial"/>
          <w:sz w:val="22"/>
          <w:szCs w:val="22"/>
        </w:rPr>
        <w:t xml:space="preserve">Desarrollar un panel de visualización en el backend que permita al personal médico monitorear la evolución temporal de los parámetros de marcha del paciente y la frecuencia de las anomalías detectadas.</w:t>
      </w:r>
    </w:p>
    <w:p>
      <w:pPr>
        <w:pStyle w:val="ListParagraph"/>
        <w:numPr>
          <w:ilvl w:val="0"/>
          <w:numId w:val="2"/>
        </w:numPr>
        <w:spacing w:after="30" w:before="30" w:line="264"/>
        <w:jc w:val="both"/>
      </w:pPr>
      <w:r>
        <w:rPr>
          <w:rFonts w:ascii="Arial" w:cs="Arial" w:eastAsia="Arial" w:hAnsi="Arial"/>
          <w:sz w:val="22"/>
          <w:szCs w:val="22"/>
        </w:rPr>
        <w:t xml:space="preserve">Optimizar el diseño del wearable mediante la integración total de sus componentes electrónicos, logrando una estética de producto finalizado y una ergonomía convencional que facilite su uso discreto.</w:t>
      </w:r>
    </w:p>
    <w:p>
      <w:pPr>
        <w:pStyle w:val="ListParagraph"/>
        <w:numPr>
          <w:ilvl w:val="0"/>
          <w:numId w:val="2"/>
        </w:numPr>
        <w:spacing w:after="30" w:before="30" w:line="264"/>
        <w:jc w:val="both"/>
      </w:pPr>
      <w:r>
        <w:rPr>
          <w:rFonts w:ascii="Arial" w:cs="Arial" w:eastAsia="Arial" w:hAnsi="Arial"/>
          <w:sz w:val="22"/>
          <w:szCs w:val="22"/>
        </w:rPr>
        <w:t xml:space="preserve">Desarrollar un sistema de alerta mediante respuesta vibrotáctil en la zapatilla, accionado por órdenes desde el backend al momento en que el algoritmo detecte una marcha anómala.</w:t>
      </w:r>
    </w:p>
    <w:p>
      <w:pPr>
        <w:pStyle w:val="Heading1"/>
        <w:spacing w:after="120" w:before="300"/>
      </w:pPr>
      <w:r>
        <w:rPr>
          <w:rFonts w:ascii="Arial" w:cs="Arial" w:eastAsia="Arial" w:hAnsi="Arial"/>
          <w:b/>
          <w:bCs/>
          <w:color w:val="1F3864"/>
          <w:sz w:val="26"/>
          <w:szCs w:val="26"/>
        </w:rPr>
        <w:t xml:space="preserve">6. Metodología (Preliminar)</w:t>
      </w:r>
    </w:p>
    <w:p>
      <w:pPr>
        <w:spacing w:after="140" w:before="0" w:line="264"/>
        <w:jc w:val="both"/>
      </w:pPr>
      <w:r>
        <w:rPr>
          <w:rFonts w:ascii="Arial" w:cs="Arial" w:eastAsia="Arial" w:hAnsi="Arial"/>
          <w:sz w:val="22"/>
          <w:szCs w:val="22"/>
        </w:rPr>
        <w:t xml:space="preserve">El sistema se desarrollará siguiendo una arquitectura de tres capas.</w:t>
      </w:r>
    </w:p>
    <w:p>
      <w:pPr>
        <w:pStyle w:val="Heading2"/>
        <w:spacing w:after="70" w:before="180"/>
      </w:pPr>
      <w:r>
        <w:rPr>
          <w:rFonts w:ascii="Arial" w:cs="Arial" w:eastAsia="Arial" w:hAnsi="Arial"/>
          <w:b/>
          <w:bCs/>
          <w:color w:val="2E75B6"/>
          <w:sz w:val="23"/>
          <w:szCs w:val="23"/>
        </w:rPr>
        <w:t xml:space="preserve">Wearable</w:t>
      </w:r>
    </w:p>
    <w:p>
      <w:pPr>
        <w:spacing w:after="140" w:before="0" w:line="264"/>
        <w:jc w:val="both"/>
      </w:pPr>
      <w:r>
        <w:rPr>
          <w:rFonts w:ascii="Arial" w:cs="Arial" w:eastAsia="Arial" w:hAnsi="Arial"/>
          <w:sz w:val="22"/>
          <w:szCs w:val="22"/>
        </w:rPr>
        <w:t xml:space="preserve">Integrará una unidad de medición inercial (IMU BMI270) bajo el arco del pie para capturar aceleración y orientación en tres ejes, junto con sensores de fuerza resistiva (FSR 402) en talón y metatarso para detectar los eventos de contacto y propulsión. Se implementará un firmware con inteligencia en el borde para segmentar los pasos localmente y transmitir los datos comprimidos vía Bluetooth/Wi-Fi.</w:t>
      </w:r>
    </w:p>
    <w:p>
      <w:pPr>
        <w:pStyle w:val="Heading2"/>
        <w:spacing w:after="70" w:before="180"/>
      </w:pPr>
      <w:r>
        <w:rPr>
          <w:rFonts w:ascii="Arial" w:cs="Arial" w:eastAsia="Arial" w:hAnsi="Arial"/>
          <w:b/>
          <w:bCs/>
          <w:color w:val="2E75B6"/>
          <w:sz w:val="23"/>
          <w:szCs w:val="23"/>
        </w:rPr>
        <w:t xml:space="preserve">Aplicación de escritorio (adquisición y análisis)</w:t>
      </w:r>
    </w:p>
    <w:p>
      <w:pPr>
        <w:spacing w:after="140" w:before="0" w:line="264"/>
        <w:jc w:val="both"/>
      </w:pPr>
      <w:r>
        <w:rPr>
          <w:rFonts w:ascii="Arial" w:cs="Arial" w:eastAsia="Arial" w:hAnsi="Arial"/>
          <w:sz w:val="22"/>
          <w:szCs w:val="22"/>
        </w:rPr>
        <w:t xml:space="preserve">Funcionará como centro de recepción y procesamiento. Recibirá los datos del wearable, los almacenará y ejecutará el pipeline de extracción de características biomecánicas (tiempos de fase, variabilidad, simetría). Sobre estas características se entrenarán y evaluarán los modelos de detección de anomalías.</w:t>
      </w:r>
    </w:p>
    <w:p>
      <w:pPr>
        <w:pStyle w:val="Heading2"/>
        <w:spacing w:after="70" w:before="180"/>
      </w:pPr>
      <w:r>
        <w:rPr>
          <w:rFonts w:ascii="Arial" w:cs="Arial" w:eastAsia="Arial" w:hAnsi="Arial"/>
          <w:b/>
          <w:bCs/>
          <w:color w:val="2E75B6"/>
          <w:sz w:val="23"/>
          <w:szCs w:val="23"/>
        </w:rPr>
        <w:t xml:space="preserve">Backend (entorno de I+D)</w:t>
      </w:r>
    </w:p>
    <w:p>
      <w:pPr>
        <w:spacing w:after="140" w:before="0" w:line="264"/>
        <w:jc w:val="both"/>
      </w:pPr>
      <w:r>
        <w:rPr>
          <w:rFonts w:ascii="Arial" w:cs="Arial" w:eastAsia="Arial" w:hAnsi="Arial"/>
          <w:sz w:val="22"/>
          <w:szCs w:val="22"/>
        </w:rPr>
        <w:t xml:space="preserve">Utilizará Python como lenguaje principal para la extracción de variables características por paso y el reentrenamiento periódico de los modelos. Se explorarán algoritmos como distancia de Mahalanobis, Isolation Forest, Autoencoders y One-Class SVM para identificar desviaciones respecto al patrón basal adaptativo.</w:t>
      </w:r>
    </w:p>
    <w:p>
      <w:pPr>
        <w:pStyle w:val="Heading2"/>
        <w:spacing w:after="70" w:before="180"/>
      </w:pPr>
      <w:r>
        <w:rPr>
          <w:rFonts w:ascii="Arial" w:cs="Arial" w:eastAsia="Arial" w:hAnsi="Arial"/>
          <w:b/>
          <w:bCs/>
          <w:color w:val="2E75B6"/>
          <w:sz w:val="23"/>
          <w:szCs w:val="23"/>
        </w:rPr>
        <w:t xml:space="preserve">Validación</w:t>
      </w:r>
    </w:p>
    <w:p>
      <w:pPr>
        <w:spacing w:after="140" w:before="0" w:line="264"/>
        <w:jc w:val="both"/>
      </w:pPr>
      <w:r>
        <w:rPr>
          <w:rFonts w:ascii="Arial" w:cs="Arial" w:eastAsia="Arial" w:hAnsi="Arial"/>
          <w:sz w:val="22"/>
          <w:szCs w:val="22"/>
        </w:rPr>
        <w:t xml:space="preserve">Se empleará un protocolo de testeo de caminata supervisada (por ejemplo, el test de 10 metros) sincronizado con mediciones externas de referencia (motion capture óptico o GaitRite, según disponibilidad) para verificar que los datos del wearable reflejen la condición clínica real del sujeto, evaluando el acuerdo mediante ICC y gráficos de Bland-Altman.</w:t>
      </w:r>
    </w:p>
    <w:p>
      <w:pPr>
        <w:pStyle w:val="Heading1"/>
        <w:spacing w:after="120" w:before="300"/>
      </w:pPr>
      <w:r>
        <w:rPr>
          <w:rFonts w:ascii="Arial" w:cs="Arial" w:eastAsia="Arial" w:hAnsi="Arial"/>
          <w:b/>
          <w:bCs/>
          <w:color w:val="1F3864"/>
          <w:sz w:val="26"/>
          <w:szCs w:val="26"/>
        </w:rPr>
        <w:t xml:space="preserve">7. Planificación de Tareas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0"/>
        <w:gridCol w:w="5650"/>
        <w:gridCol w:w="2600"/>
      </w:tblGrid>
      <w:tr>
        <w:tc>
          <w:tcPr>
            <w:tcW w:type="dxa" w:w="75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Fase</w:t>
            </w:r>
          </w:p>
        </w:tc>
        <w:tc>
          <w:tcPr>
            <w:tcW w:type="dxa" w:w="565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Descripción</w:t>
            </w:r>
          </w:p>
        </w:tc>
        <w:tc>
          <w:tcPr>
            <w:tcW w:type="dxa" w:w="26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Duración estimada</w:t>
            </w:r>
          </w:p>
        </w:tc>
      </w:tr>
      <w:tr>
        <w:tc>
          <w:tcPr>
            <w:tcW w:type="dxa" w:w="7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I</w:t>
            </w:r>
          </w:p>
        </w:tc>
        <w:tc>
          <w:tcPr>
            <w:tcW w:type="dxa" w:w="56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left"/>
            </w:pPr>
            <w:r>
              <w:rPr>
                <w:rFonts w:ascii="Arial" w:cs="Arial" w:eastAsia="Arial" w:hAnsi="Arial"/>
                <w:sz w:val="19"/>
                <w:szCs w:val="19"/>
              </w:rPr>
              <w:t xml:space="preserve">Investigación: biomecánica post-ACV y estado del arte en sensores IMU/FSR.</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Semanas 1–3</w:t>
            </w:r>
          </w:p>
        </w:tc>
      </w:tr>
      <w:tr>
        <w:tc>
          <w:tcPr>
            <w:tcW w:type="dxa" w:w="7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II</w:t>
            </w:r>
          </w:p>
        </w:tc>
        <w:tc>
          <w:tcPr>
            <w:tcW w:type="dxa" w:w="56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left"/>
            </w:pPr>
            <w:r>
              <w:rPr>
                <w:rFonts w:ascii="Arial" w:cs="Arial" w:eastAsia="Arial" w:hAnsi="Arial"/>
                <w:sz w:val="19"/>
                <w:szCs w:val="19"/>
              </w:rPr>
              <w:t xml:space="preserve">Diseño de arquitectura: definición de protocolos wearable–software y flujo de datos.</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Semanas 4–5</w:t>
            </w:r>
          </w:p>
        </w:tc>
      </w:tr>
      <w:tr>
        <w:tc>
          <w:tcPr>
            <w:tcW w:type="dxa" w:w="7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III</w:t>
            </w:r>
          </w:p>
        </w:tc>
        <w:tc>
          <w:tcPr>
            <w:tcW w:type="dxa" w:w="56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left"/>
            </w:pPr>
            <w:r>
              <w:rPr>
                <w:rFonts w:ascii="Arial" w:cs="Arial" w:eastAsia="Arial" w:hAnsi="Arial"/>
                <w:sz w:val="19"/>
                <w:szCs w:val="19"/>
              </w:rPr>
              <w:t xml:space="preserve">Desarrollo hardware: armado del prototipo del calzado y programación del firmware de detección.</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Semanas 6–10</w:t>
            </w:r>
          </w:p>
        </w:tc>
      </w:tr>
      <w:tr>
        <w:tc>
          <w:tcPr>
            <w:tcW w:type="dxa" w:w="7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IV</w:t>
            </w:r>
          </w:p>
        </w:tc>
        <w:tc>
          <w:tcPr>
            <w:tcW w:type="dxa" w:w="56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left"/>
            </w:pPr>
            <w:r>
              <w:rPr>
                <w:rFonts w:ascii="Arial" w:cs="Arial" w:eastAsia="Arial" w:hAnsi="Arial"/>
                <w:sz w:val="19"/>
                <w:szCs w:val="19"/>
              </w:rPr>
              <w:t xml:space="preserve">Desarrollo software: módulo de adquisición, almacenamiento y gestión de sesiones.</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Semanas 11–14</w:t>
            </w:r>
          </w:p>
        </w:tc>
      </w:tr>
      <w:tr>
        <w:tc>
          <w:tcPr>
            <w:tcW w:type="dxa" w:w="7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V</w:t>
            </w:r>
          </w:p>
        </w:tc>
        <w:tc>
          <w:tcPr>
            <w:tcW w:type="dxa" w:w="56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left"/>
            </w:pPr>
            <w:r>
              <w:rPr>
                <w:rFonts w:ascii="Arial" w:cs="Arial" w:eastAsia="Arial" w:hAnsi="Arial"/>
                <w:sz w:val="19"/>
                <w:szCs w:val="19"/>
              </w:rPr>
              <w:t xml:space="preserve">Backend e I+D: pipeline de extracción de features y entrenamiento de modelos.</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Semanas 15–18</w:t>
            </w:r>
          </w:p>
        </w:tc>
      </w:tr>
      <w:tr>
        <w:tc>
          <w:tcPr>
            <w:tcW w:type="dxa" w:w="7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VI</w:t>
            </w:r>
          </w:p>
        </w:tc>
        <w:tc>
          <w:tcPr>
            <w:tcW w:type="dxa" w:w="56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left"/>
            </w:pPr>
            <w:r>
              <w:rPr>
                <w:rFonts w:ascii="Arial" w:cs="Arial" w:eastAsia="Arial" w:hAnsi="Arial"/>
                <w:sz w:val="19"/>
                <w:szCs w:val="19"/>
              </w:rPr>
              <w:t xml:space="preserve">Integración: sincronización de la fase de aprendizaje con la fase de uso activo.</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Semanas 19–20</w:t>
            </w:r>
          </w:p>
        </w:tc>
      </w:tr>
      <w:tr>
        <w:tc>
          <w:tcPr>
            <w:tcW w:type="dxa" w:w="7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VII</w:t>
            </w:r>
          </w:p>
        </w:tc>
        <w:tc>
          <w:tcPr>
            <w:tcW w:type="dxa" w:w="56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left"/>
            </w:pPr>
            <w:r>
              <w:rPr>
                <w:rFonts w:ascii="Arial" w:cs="Arial" w:eastAsia="Arial" w:hAnsi="Arial"/>
                <w:sz w:val="19"/>
                <w:szCs w:val="19"/>
              </w:rPr>
              <w:t xml:space="preserve">Validación: pruebas en protocolo supervisado y ajuste de latencia (&lt;50 ms).</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Semanas 21–24</w:t>
            </w:r>
          </w:p>
        </w:tc>
      </w:tr>
      <w:tr>
        <w:tc>
          <w:tcPr>
            <w:tcW w:type="dxa" w:w="7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VIII</w:t>
            </w:r>
          </w:p>
        </w:tc>
        <w:tc>
          <w:tcPr>
            <w:tcW w:type="dxa" w:w="565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left"/>
            </w:pPr>
            <w:r>
              <w:rPr>
                <w:rFonts w:ascii="Arial" w:cs="Arial" w:eastAsia="Arial" w:hAnsi="Arial"/>
                <w:sz w:val="19"/>
                <w:szCs w:val="19"/>
              </w:rPr>
              <w:t xml:space="preserve">Finalización: gestión de datos sensibles y redacción de la memoria final.</w:t>
            </w:r>
          </w:p>
        </w:tc>
        <w:tc>
          <w:tcPr>
            <w:tcW w:type="dxa" w:w="2600"/>
            <w:tcBorders>
              <w:top w:val="single" w:color="AAAAAA" w:sz="1"/>
              <w:left w:val="single" w:color="AAAAAA" w:sz="1"/>
              <w:bottom w:val="single" w:color="AAAAAA" w:sz="1"/>
              <w:right w:val="single" w:color="AAAAAA" w:sz="1"/>
            </w:tcBorders>
            <w:tcMar>
              <w:top w:type="dxa" w:w="70"/>
              <w:left w:type="dxa" w:w="110"/>
              <w:bottom w:type="dxa" w:w="70"/>
              <w:right w:type="dxa" w:w="110"/>
            </w:tcMar>
          </w:tcPr>
          <w:p>
            <w:pPr>
              <w:jc w:val="center"/>
            </w:pPr>
            <w:r>
              <w:rPr>
                <w:rFonts w:ascii="Arial" w:cs="Arial" w:eastAsia="Arial" w:hAnsi="Arial"/>
                <w:sz w:val="19"/>
                <w:szCs w:val="19"/>
              </w:rPr>
              <w:t xml:space="preserve">Semanas 25–26</w:t>
            </w:r>
          </w:p>
        </w:tc>
      </w:tr>
    </w:tbl>
    <w:p>
      <w:pPr>
        <w:spacing w:after="60"/>
      </w:pPr>
      <w:r>
        <w:t xml:space="preserve"/>
      </w:r>
    </w:p>
    <w:p>
      <w:pPr>
        <w:pStyle w:val="Heading1"/>
        <w:spacing w:after="120" w:before="300"/>
      </w:pPr>
      <w:r>
        <w:rPr>
          <w:rFonts w:ascii="Arial" w:cs="Arial" w:eastAsia="Arial" w:hAnsi="Arial"/>
          <w:b/>
          <w:bCs/>
          <w:color w:val="1F3864"/>
          <w:sz w:val="26"/>
          <w:szCs w:val="26"/>
        </w:rPr>
        <w:t xml:space="preserve">8. Costo (Preliminar)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Componente / Servicio</w:t>
            </w:r>
          </w:p>
        </w:tc>
        <w:tc>
          <w:tcPr>
            <w:tcW w:type="dxa" w:w="40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Descripción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Costo estimado</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IMU BMI270</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Sensor inercial de ultra bajo consumo</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[ML]</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FSR 402 ×4</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Sensores de fuerza resistiva (talón y metatarso)</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[ML]</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Microcontrolador</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NodeMCU ESP32 o similar con Bluetooth/Wi-Fi</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[ML]</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Motores de vibración</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Actuadores para biofeedback háptico</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[ML]</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Batería Li-Po</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Fuente de energía recargable (3,7 V)</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[ML]</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Zapatilla base</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Calzado convencional para modificación</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[ML]</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Servicios cloud</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Backend de entrenamiento (PaaS)</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[mensual]</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Envío</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A Los Patos 2802, Parque Patricios</w:t>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[ML]</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Total estimado</w:t>
            </w:r>
          </w:p>
        </w:tc>
        <w:tc>
          <w:tcPr>
            <w:tcW w:type="dxa" w:w="4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w:r>
          </w:p>
        </w:tc>
        <w:tc>
          <w:tcPr>
            <w:tcW w:type="dxa" w:w="2000"/>
            <w:tcBorders>
              <w:top w:val="single" w:color="AAAAAA" w:sz="1"/>
              <w:left w:val="single" w:color="AAAAAA" w:sz="1"/>
              <w:bottom w:val="single" w:color="AAAAAA" w:sz="1"/>
              <w:right w:val="single" w:color="AAAAAA" w:sz="1"/>
            </w:tcBorders>
            <w:tcMar>
              <w:top w:type="dxa" w:w="70"/>
              <w:left w:type="dxa" w:w="110"/>
              <w:bottom w:type="dxa" w:w="70"/>
              <w:right w:type="dxa" w:w="110"/>
            </w:tcMar>
          </w:tcPr>
          <w:p>
            <w:r>
              <w:rPr>
                <w:rFonts w:ascii="Arial" w:cs="Arial" w:eastAsia="Arial" w:hAnsi="Arial"/>
                <w:sz w:val="19"/>
                <w:szCs w:val="19"/>
              </w:rPr>
              <w:t xml:space="preserve">$ [Completar]</w:t>
            </w:r>
          </w:p>
        </w:tc>
      </w:tr>
    </w:tbl>
    <w:p>
      <w:pPr>
        <w:spacing w:after="60"/>
      </w:pPr>
      <w:r>
        <w:t xml:space="preserve"/>
      </w:r>
    </w:p>
    <w:p>
      <w:pPr>
        <w:spacing w:after="80" w:before="30"/>
      </w:pPr>
      <w:r>
        <w:rPr>
          <w:rFonts w:ascii="Arial" w:cs="Arial" w:eastAsia="Arial" w:hAnsi="Arial"/>
          <w:i/>
          <w:iCs/>
          <w:sz w:val="19"/>
          <w:szCs w:val="19"/>
        </w:rPr>
        <w:t xml:space="preserve">Cuadro 2: Estimación preliminar de costos. ML = precio según Mercado Libre al momento de la compra.</w:t>
      </w:r>
    </w:p>
    <w:p>
      <w:r>
        <w:br w:type="page"/>
      </w:r>
    </w:p>
    <w:p>
      <w:pPr>
        <w:pStyle w:val="Heading1"/>
        <w:spacing w:after="120" w:before="300"/>
      </w:pPr>
      <w:r>
        <w:rPr>
          <w:rFonts w:ascii="Arial" w:cs="Arial" w:eastAsia="Arial" w:hAnsi="Arial"/>
          <w:b/>
          <w:bCs/>
          <w:color w:val="1F3864"/>
          <w:sz w:val="26"/>
          <w:szCs w:val="26"/>
        </w:rPr>
        <w:t xml:space="preserve">9. Referencias Bibliográficas (Preliminar)</w:t>
      </w:r>
    </w:p>
    <w:p>
      <w:pPr>
        <w:spacing w:after="90" w:before="0" w:line="252"/>
        <w:ind w:left="360" w:hanging="360"/>
        <w:jc w:val="both"/>
      </w:pPr>
      <w:r>
        <w:rPr>
          <w:rFonts w:ascii="Arial" w:cs="Arial" w:eastAsia="Arial" w:hAnsi="Arial"/>
          <w:sz w:val="20"/>
          <w:szCs w:val="20"/>
        </w:rPr>
        <w:t xml:space="preserve">[1] P. Brasiliano et al., “Identifying key gait features in stroke patients using wearable inertial sensors and supervised and unsupervised machine learning,” Sci. Rep., vol. 16, art. 8908, 2026, doi: 10.1038/s41598-026-43666-7.</w:t>
      </w:r>
    </w:p>
    <w:p>
      <w:pPr>
        <w:spacing w:after="90" w:before="0" w:line="252"/>
        <w:ind w:left="360" w:hanging="360"/>
        <w:jc w:val="both"/>
      </w:pPr>
      <w:r>
        <w:rPr>
          <w:rFonts w:ascii="Arial" w:cs="Arial" w:eastAsia="Arial" w:hAnsi="Arial"/>
          <w:sz w:val="20"/>
          <w:szCs w:val="20"/>
        </w:rPr>
        <w:t xml:space="preserve">[2] S. H. Jung et al., “Prediction of post-stroke falls by quantitative assessment of balance,” Ann. Rehabil. Med., vol. 41, no. 3, pp. 339–346, 2017, doi: 10.5535/arm.2017.41.3.339.</w:t>
      </w:r>
    </w:p>
    <w:p>
      <w:pPr>
        <w:spacing w:after="90" w:before="0" w:line="252"/>
        <w:ind w:left="360" w:hanging="360"/>
        <w:jc w:val="both"/>
      </w:pPr>
      <w:r>
        <w:rPr>
          <w:rFonts w:ascii="Arial" w:cs="Arial" w:eastAsia="Arial" w:hAnsi="Arial"/>
          <w:sz w:val="20"/>
          <w:szCs w:val="20"/>
        </w:rPr>
        <w:t xml:space="preserve">[3] X. Chen et al., “Interpretable evaluation for the Brunnstrom recovery stage of the lower limb based on wearable sensors,” Front. Neuroinform., vol. 16, art. 1006494, 2022, doi: 10.3389/fninf.2022.1006494.</w:t>
      </w:r>
    </w:p>
    <w:p>
      <w:pPr>
        <w:spacing w:after="90" w:before="0" w:line="252"/>
        <w:ind w:left="360" w:hanging="360"/>
        <w:jc w:val="both"/>
      </w:pPr>
      <w:r>
        <w:rPr>
          <w:rFonts w:ascii="Arial" w:cs="Arial" w:eastAsia="Arial" w:hAnsi="Arial"/>
          <w:sz w:val="20"/>
          <w:szCs w:val="20"/>
        </w:rPr>
        <w:t xml:space="preserve">[4] C. Z.-H. Ma, Y.-P. Zheng, and W.-C. C. Lee, “Changes in gait and plantar foot loading upon using vibrotactile wearable biofeedback system in patients with stroke,” Top. Stroke Rehabil., vol. 25, no. 1, pp. 20–27, 2018, doi: 10.1080/10749357.2017.1380339.</w:t>
      </w:r>
    </w:p>
    <w:p>
      <w:pPr>
        <w:spacing w:after="90" w:before="0" w:line="252"/>
        <w:ind w:left="360" w:hanging="360"/>
        <w:jc w:val="both"/>
      </w:pPr>
      <w:r>
        <w:rPr>
          <w:rFonts w:ascii="Arial" w:cs="Arial" w:eastAsia="Arial" w:hAnsi="Arial"/>
          <w:sz w:val="20"/>
          <w:szCs w:val="20"/>
        </w:rPr>
        <w:t xml:space="preserve">[5] L. Riglet et al., “The use of embedded IMU insoles to assess gait parameters: a validation and test-retest reliability study,” Sensors, vol. 23, no. 19, art. 8155, 2023, doi: 10.3390/s23198155.</w:t>
      </w:r>
    </w:p>
    <w:p>
      <w:pPr>
        <w:spacing w:after="90" w:before="0" w:line="252"/>
        <w:ind w:left="360" w:hanging="360"/>
        <w:jc w:val="both"/>
      </w:pPr>
      <w:r>
        <w:rPr>
          <w:rFonts w:ascii="Arial" w:cs="Arial" w:eastAsia="Arial" w:hAnsi="Arial"/>
          <w:sz w:val="20"/>
          <w:szCs w:val="20"/>
        </w:rPr>
        <w:t xml:space="preserve">[6] C. Herbers, R. Zhang, A. Erdman, and M. D. Johnson, “Distinguishing features of Parkinson’s disease fallers based on wireless insole plantar pressure monitoring,” npj Parkinsons Dis., vol. 10, no. 1, art. 67, 2024, doi: 10.1038/s41531-024-00678-2.</w:t>
      </w:r>
    </w:p>
    <w:p>
      <w:pPr>
        <w:spacing w:after="90" w:before="0" w:line="252"/>
        <w:ind w:left="360" w:hanging="360"/>
        <w:jc w:val="both"/>
      </w:pPr>
      <w:r>
        <w:rPr>
          <w:rFonts w:ascii="Arial" w:cs="Arial" w:eastAsia="Arial" w:hAnsi="Arial"/>
          <w:sz w:val="20"/>
          <w:szCs w:val="20"/>
        </w:rPr>
        <w:t xml:space="preserve">[7] H. Lim et al., “Exploring the reliability and validity of smart insoles in gait parameter measurement: a cross-sectional study,” Phys. Ther. Rehabil. Sci., vol. 14, no. 3, pp. 282–292, 2025, doi: 10.14474/ptrs.2025.14.3.282.</w:t>
      </w:r>
    </w:p>
    <w:p>
      <w:pPr>
        <w:spacing w:after="90" w:before="0" w:line="252"/>
        <w:ind w:left="360" w:hanging="360"/>
        <w:jc w:val="both"/>
      </w:pPr>
      <w:r>
        <w:rPr>
          <w:rFonts w:ascii="Arial" w:cs="Arial" w:eastAsia="Arial" w:hAnsi="Arial"/>
          <w:sz w:val="20"/>
          <w:szCs w:val="20"/>
        </w:rPr>
        <w:t xml:space="preserve">[8] D. Kang, “The analysis of gait variables and plantar pressure patterns in community-dwelling elderly patients with hemiplegic stroke,” J. Musculoskelet. Sci. Technol., vol. 9, no. 1, pp. 25–35, 2025, doi: 10.29273/jmst.2025.9.1.25.</w:t>
      </w:r>
    </w:p>
    <w:p>
      <w:pPr>
        <w:spacing w:after="90" w:before="0" w:line="252"/>
        <w:ind w:left="360" w:hanging="360"/>
        <w:jc w:val="both"/>
      </w:pPr>
      <w:r>
        <w:rPr>
          <w:rFonts w:ascii="Arial" w:cs="Arial" w:eastAsia="Arial" w:hAnsi="Arial"/>
          <w:sz w:val="20"/>
          <w:szCs w:val="20"/>
        </w:rPr>
        <w:t xml:space="preserve">[9] Toth et al., “Bioinformatics-inspired IMU stride sequence modeling for fatigue detection using spectral–entropy features and hybrid AI in performance sports,” Sensors, 2025, PMC12845696.</w:t>
      </w:r>
    </w:p>
    <w:p>
      <w:pPr>
        <w:spacing w:after="90" w:before="0" w:line="252"/>
        <w:ind w:left="360" w:hanging="360"/>
        <w:jc w:val="both"/>
      </w:pPr>
      <w:r>
        <w:rPr>
          <w:rFonts w:ascii="Arial" w:cs="Arial" w:eastAsia="Arial" w:hAnsi="Arial"/>
          <w:sz w:val="20"/>
          <w:szCs w:val="20"/>
        </w:rPr>
        <w:t xml:space="preserve">[10] M. Falbriard, F. Meyer, B. Mariani, G. P. Millet, and K. Aminian, “Drift-free foot orientation estimation in running using wearable IMU,” Front. Bioeng. Biotechnol., vol. 8, art. 65, 2020, doi: 10.3389/fbioe.2020.00065.</w:t>
      </w:r>
    </w:p>
    <w:p>
      <w:pPr>
        <w:spacing w:after="90" w:before="0" w:line="252"/>
        <w:ind w:left="360" w:hanging="360"/>
        <w:jc w:val="both"/>
      </w:pPr>
      <w:r>
        <w:rPr>
          <w:rFonts w:ascii="Arial" w:cs="Arial" w:eastAsia="Arial" w:hAnsi="Arial"/>
          <w:sz w:val="20"/>
          <w:szCs w:val="20"/>
        </w:rPr>
        <w:t xml:space="preserve">[11] S. Sanghan, W. Leelasamran, and S. Chatpun, “Imbalanced gait characteristics based on plantar pressure assessment in patients with hemiplegia,” Walailak J. Sci. Technol., vol. 12, no. 7, 2014, doi: 10.14456/1087.</w:t>
      </w:r>
    </w:p>
    <w:p>
      <w:pPr>
        <w:spacing w:after="90" w:before="0" w:line="252"/>
        <w:ind w:left="360" w:hanging="360"/>
        <w:jc w:val="both"/>
      </w:pPr>
      <w:r>
        <w:rPr>
          <w:rFonts w:ascii="Arial" w:cs="Arial" w:eastAsia="Arial" w:hAnsi="Arial"/>
          <w:sz w:val="20"/>
          <w:szCs w:val="20"/>
        </w:rPr>
        <w:t xml:space="preserve">[12] M.-C. Lee, J.-C. Lin, and S. Katsikas, “GAD: a real-time gait anomaly detection system with online adaptive learning,” arXiv:2405.09561, 2024.</w:t>
      </w:r>
    </w:p>
    <w:p>
      <w:pPr>
        <w:spacing w:after="90" w:before="0" w:line="252"/>
        <w:ind w:left="360" w:hanging="360"/>
        <w:jc w:val="both"/>
      </w:pPr>
      <w:r>
        <w:rPr>
          <w:rFonts w:ascii="Arial" w:cs="Arial" w:eastAsia="Arial" w:hAnsi="Arial"/>
          <w:sz w:val="20"/>
          <w:szCs w:val="20"/>
        </w:rPr>
        <w:t xml:space="preserve">[13] A. M. Kirubakaran et al., “Real-time anomaly detection on wearables using edge AI,” Int. J. Eng. Res. Technol., vol. 14, no. 11, 2025, doi: 10.5281/zenodo.18074824.</w:t>
      </w:r>
    </w:p>
    <w:p>
      <w:pPr>
        <w:spacing w:after="90" w:before="0" w:line="252"/>
        <w:ind w:left="360" w:hanging="360"/>
        <w:jc w:val="both"/>
      </w:pPr>
      <w:r>
        <w:rPr>
          <w:rFonts w:ascii="Arial" w:cs="Arial" w:eastAsia="Arial" w:hAnsi="Arial"/>
          <w:sz w:val="20"/>
          <w:szCs w:val="20"/>
        </w:rPr>
        <w:t xml:space="preserve">[14] B. M. Eskofier et al., “Does the position of foot-mounted IMU sensors influence the accuracy of spatio-temporal parameters in endurance running?,” Sensors, vol. 20, no. 19, art. 5705, 2020, doi: 10.3390/s20195705.</w:t>
      </w:r>
    </w:p>
    <w:p>
      <w:pPr>
        <w:spacing w:after="90" w:before="0" w:line="252"/>
        <w:ind w:left="360" w:hanging="360"/>
        <w:jc w:val="both"/>
      </w:pPr>
      <w:r>
        <w:rPr>
          <w:rFonts w:ascii="Arial" w:cs="Arial" w:eastAsia="Arial" w:hAnsi="Arial"/>
          <w:sz w:val="20"/>
          <w:szCs w:val="20"/>
        </w:rPr>
        <w:t xml:space="preserve">[15] T. Nanayakkara et al., “Phase-specific gait characterization and plantar load progression analysis using smart insoles,” in Proc. MITA 2025, Springer CCIS 2675, pp. 197–208, doi: 10.1007/978-981-95-3141-7_18.</w:t>
      </w:r>
    </w:p>
    <w:p>
      <w:pPr>
        <w:spacing w:after="90" w:before="0" w:line="252"/>
        <w:ind w:left="360" w:hanging="360"/>
        <w:jc w:val="both"/>
      </w:pPr>
      <w:r>
        <w:rPr>
          <w:rFonts w:ascii="Arial" w:cs="Arial" w:eastAsia="Arial" w:hAnsi="Arial"/>
          <w:sz w:val="20"/>
          <w:szCs w:val="20"/>
        </w:rPr>
        <w:t xml:space="preserve">[16] Z. Pan, H. Gao, Y. Chen, Z. Xie, and L. Xie, “Evaluation of hemiplegic gait based on plantar pressure and inertial sensors,” IEEE Sens. J., vol. 23, no. 11, pp. 12008–12017, 2023, doi: 10.1109/JSEN.2023.3268669.</w:t>
      </w:r>
    </w:p>
    <w:p>
      <w:pPr>
        <w:spacing w:after="90" w:before="0" w:line="252"/>
        <w:ind w:left="360" w:hanging="360"/>
        <w:jc w:val="both"/>
      </w:pPr>
      <w:r>
        <w:rPr>
          <w:rFonts w:ascii="Arial" w:cs="Arial" w:eastAsia="Arial" w:hAnsi="Arial"/>
          <w:sz w:val="20"/>
          <w:szCs w:val="20"/>
        </w:rPr>
        <w:t xml:space="preserve">[17] M. Seo, M.-J. Shin, T. S. Park, and J. H. Park, “Clinometric gait analysis using smart insoles in patients with hemiplegia after stroke: pilot study,” JMIR mHealth uHealth, vol. 8, no. 9, art. e22208, 2020, doi: 10.2196/22208.</w:t>
      </w:r>
    </w:p>
    <w:p>
      <w:pPr>
        <w:spacing w:after="90" w:before="0" w:line="252"/>
        <w:ind w:left="360" w:hanging="360"/>
        <w:jc w:val="both"/>
      </w:pPr>
      <w:r>
        <w:rPr>
          <w:rFonts w:ascii="Arial" w:cs="Arial" w:eastAsia="Arial" w:hAnsi="Arial"/>
          <w:sz w:val="20"/>
          <w:szCs w:val="20"/>
        </w:rPr>
        <w:t xml:space="preserve">[18] D. Sánchez-Morillo et al., “Smart device development for gait monitoring: multimodal feedback in an interactive foot orthosis, walking aid, and mobile application,” Technologies, vol. 13, no. 12, art. 588, 2025, doi: 10.3390/technologies13120588.</w:t>
      </w:r>
    </w:p>
    <w:p>
      <w:pPr>
        <w:spacing w:after="90" w:before="0" w:line="252"/>
        <w:ind w:left="360" w:hanging="360"/>
        <w:jc w:val="both"/>
      </w:pPr>
      <w:r>
        <w:rPr>
          <w:rFonts w:ascii="Arial" w:cs="Arial" w:eastAsia="Arial" w:hAnsi="Arial"/>
          <w:sz w:val="20"/>
          <w:szCs w:val="20"/>
        </w:rPr>
        <w:t xml:space="preserve">[19] H. Iwata et al., “Using a vibrotactile biofeedback device to augment foot pressure during walking in healthy older adults: a brief report,” Front. Psychol., vol. 10, art. 1008, 2019, doi: 10.3389/fpsyg.2019.01008.</w:t>
      </w:r>
    </w:p>
    <w:p>
      <w:pPr>
        <w:pStyle w:val="Heading1"/>
        <w:spacing w:after="120" w:before="300"/>
      </w:pPr>
      <w:r>
        <w:rPr>
          <w:rFonts w:ascii="Arial" w:cs="Arial" w:eastAsia="Arial" w:hAnsi="Arial"/>
          <w:b/>
          <w:bCs/>
          <w:color w:val="1F3864"/>
          <w:sz w:val="26"/>
          <w:szCs w:val="26"/>
        </w:rPr>
        <w:t xml:space="preserve">10. Lugar de Realización</w:t>
      </w:r>
    </w:p>
    <w:p>
      <w:pPr>
        <w:spacing w:after="140" w:before="0" w:line="264"/>
        <w:jc w:val="both"/>
      </w:pPr>
      <w:r>
        <w:rPr>
          <w:rFonts w:ascii="Arial" w:cs="Arial" w:eastAsia="Arial" w:hAnsi="Arial"/>
          <w:sz w:val="22"/>
          <w:szCs w:val="22"/>
        </w:rPr>
        <w:t xml:space="preserve">Laboratorio de Ciencias de la Vida / Sala de Captura de Movimiento – ITBA, Sede Distrito Tecnológico.</w:t>
      </w:r>
    </w:p>
    <w:p>
      <w:pPr>
        <w:pStyle w:val="Heading1"/>
        <w:spacing w:after="120" w:before="300"/>
      </w:pPr>
      <w:r>
        <w:rPr>
          <w:rFonts w:ascii="Arial" w:cs="Arial" w:eastAsia="Arial" w:hAnsi="Arial"/>
          <w:b/>
          <w:bCs/>
          <w:color w:val="1F3864"/>
          <w:sz w:val="26"/>
          <w:szCs w:val="26"/>
        </w:rPr>
        <w:t xml:space="preserve">11. Tutores</w:t>
      </w:r>
    </w:p>
    <w:p>
      <w:pPr>
        <w:spacing w:after="140" w:before="0" w:line="264"/>
        <w:jc w:val="both"/>
      </w:pPr>
      <w:r>
        <w:rPr>
          <w:rFonts w:ascii="Arial" w:cs="Arial" w:eastAsia="Arial" w:hAnsi="Arial"/>
          <w:sz w:val="22"/>
          <w:szCs w:val="22"/>
        </w:rPr>
        <w:t xml:space="preserve">Tutor: Ramele, Rodrigo – rramele@itba.edu.ar</w:t>
      </w:r>
    </w:p>
    <w:p>
      <w:pPr>
        <w:spacing w:after="140" w:before="0" w:line="264"/>
        <w:jc w:val="both"/>
      </w:pPr>
      <w:r>
        <w:rPr>
          <w:rFonts w:ascii="Arial" w:cs="Arial" w:eastAsia="Arial" w:hAnsi="Arial"/>
          <w:sz w:val="22"/>
          <w:szCs w:val="22"/>
        </w:rPr>
        <w:t xml:space="preserve">Co-tutor: Tasos Papastylianou – tasos.papastylianou@essex.ac.uk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70" w:before="18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2026-06-20T19:27:13.705Z</dcterms:created>
  <dcterms:modified xsi:type="dcterms:W3CDTF">2026-06-20T19:27:13.705Z</dcterms:modified>
</cp:coreProperties>
</file>

<file path=docProps/custom.xml><?xml version="1.0" encoding="utf-8"?>
<Properties xmlns="http://schemas.openxmlformats.org/officeDocument/2006/custom-properties" xmlns:vt="http://schemas.openxmlformats.org/officeDocument/2006/docPropsVTypes"/>
</file>