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9.png" ContentType="image/png"/>
  <Override PartName="/word/media/rId24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Sumário executivo para a gestão</w:t>
      </w:r>
    </w:p>
    <w:p>
      <w:pPr>
        <w:pStyle w:val="Subtitle"/>
      </w:pPr>
      <w:r>
        <w:t xml:space="preserve">Diagnóstico institucional e operacional do assessoramento às escolas — anos iniciais</w:t>
      </w:r>
    </w:p>
    <w:p>
      <w:pPr>
        <w:pStyle w:val="Author"/>
      </w:pPr>
      <w:r>
        <w:t xml:space="preserve">Unidade de Ensino Fundamental — SMED/PMPA</w:t>
      </w:r>
    </w:p>
    <w:p>
      <w:pPr>
        <w:pStyle w:val="Date"/>
      </w:pPr>
      <w:r>
        <w:t xml:space="preserve">3 de agosto de 2026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ces\app\bin\quarto\share\formats\docx\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Leitura obrigatória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Este sumário apresenta um diagnóstico</w:t>
            </w:r>
            <w:r>
              <w:t xml:space="preserve"> </w:t>
            </w:r>
            <w:r>
              <w:rPr>
                <w:b/>
                <w:bCs/>
              </w:rPr>
              <w:t xml:space="preserve">observacional e descritivo</w:t>
            </w:r>
            <w:r>
              <w:t xml:space="preserve">. Não identifica efeitos causais do assessoramento. A avaliação de 2025 representa linha de base anterior ao programa, com</w:t>
            </w:r>
            <w:r>
              <w:t xml:space="preserve"> </w:t>
            </w:r>
            <w:r>
              <w:rPr>
                <w:b/>
                <w:bCs/>
              </w:rPr>
              <w:t xml:space="preserve">dose zero</w:t>
            </w:r>
            <w:r>
              <w:t xml:space="preserve">. Resultados educacionais pertencem ao contexto das escolas, não compõem o índice operacional e não avaliam a atuação das assessoras.</w:t>
            </w:r>
          </w:p>
          <w:p/>
        </w:tc>
      </w:tr>
    </w:tbl>
    <w:bookmarkStart w:id="12" w:name="mensagem-central"/>
    <w:p>
      <w:pPr>
        <w:pStyle w:val="Heading1"/>
      </w:pPr>
      <w:r>
        <w:t xml:space="preserve">Mensagem central</w:t>
      </w:r>
    </w:p>
    <w:p>
      <w:pPr>
        <w:pStyle w:val="FirstParagraph"/>
      </w:pPr>
      <w:r>
        <w:t xml:space="preserve">A UEF-SMED dispõe agora de uma base institucional consistente para enxergar simultaneamente a</w:t>
      </w:r>
      <w:r>
        <w:t xml:space="preserve"> </w:t>
      </w:r>
      <w:r>
        <w:rPr>
          <w:b/>
          <w:bCs/>
        </w:rPr>
        <w:t xml:space="preserve">rede</w:t>
      </w:r>
      <w:r>
        <w:t xml:space="preserve">, as</w:t>
      </w:r>
      <w:r>
        <w:t xml:space="preserve"> </w:t>
      </w:r>
      <w:r>
        <w:rPr>
          <w:b/>
          <w:bCs/>
        </w:rPr>
        <w:t xml:space="preserve">escolas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composição das carteiras de assessoramento</w:t>
      </w:r>
      <w:r>
        <w:t xml:space="preserve">. O principal achado gerencial não é a existência de uma classificação única de escolas ou assessoras, mas a presença de</w:t>
      </w:r>
      <w:r>
        <w:t xml:space="preserve"> </w:t>
      </w:r>
      <w:r>
        <w:rPr>
          <w:b/>
          <w:bCs/>
        </w:rPr>
        <w:t xml:space="preserve">heterogeneidades relevantes que o simples número de escolas por carteira não captura</w:t>
      </w:r>
      <w:r>
        <w:t xml:space="preserve">.</w:t>
      </w:r>
    </w:p>
    <w:p>
      <w:pPr>
        <w:pStyle w:val="BodyText"/>
      </w:pPr>
      <w:r>
        <w:t xml:space="preserve">O universo institucional possui</w:t>
      </w:r>
      <w:r>
        <w:t xml:space="preserve"> </w:t>
      </w:r>
      <w:r>
        <w:rPr>
          <w:b/>
          <w:bCs/>
        </w:rPr>
        <w:t xml:space="preserve">56 escolas</w:t>
      </w:r>
      <w:r>
        <w:t xml:space="preserve">, mas somente</w:t>
      </w:r>
      <w:r>
        <w:t xml:space="preserve"> </w:t>
      </w:r>
      <w:r>
        <w:rPr>
          <w:b/>
          <w:bCs/>
        </w:rPr>
        <w:t xml:space="preserve">53</w:t>
      </w:r>
      <w:r>
        <w:t xml:space="preserve"> </w:t>
      </w:r>
      <w:r>
        <w:t xml:space="preserve">representam carga operacional de assessoramento em 2026. As demais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permanecem importantes para a caracterização da rede, sem serem tratadas como demanda operacional.</w:t>
      </w:r>
    </w:p>
    <w:p>
      <w:pPr>
        <w:pStyle w:val="BodyText"/>
      </w:pPr>
      <w:r>
        <w:t xml:space="preserve">As carteiras combinam escolas de portes, estruturas e complexidades distintas. Por isso, decisões sobre divisão de trabalho devem considerar conjuntamente</w:t>
      </w:r>
      <w:r>
        <w:t xml:space="preserve"> </w:t>
      </w:r>
      <w:r>
        <w:rPr>
          <w:b/>
          <w:bCs/>
        </w:rPr>
        <w:t xml:space="preserve">volume</w:t>
      </w:r>
      <w:r>
        <w:t xml:space="preserve">,</w:t>
      </w:r>
      <w:r>
        <w:t xml:space="preserve"> </w:t>
      </w:r>
      <w:r>
        <w:rPr>
          <w:b/>
          <w:bCs/>
        </w:rPr>
        <w:t xml:space="preserve">estrutura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complexidade administrativa</w:t>
      </w:r>
      <w:r>
        <w:t xml:space="preserve">, complementados pelo conhecimento qualitativo da equipe e, futuramente, por medidas diretas da dose de assessoramento.</w:t>
      </w:r>
    </w:p>
    <w:bookmarkEnd w:id="12"/>
    <w:bookmarkStart w:id="18" w:name="o-que-a-gestão-precisa-reter"/>
    <w:p>
      <w:pPr>
        <w:pStyle w:val="Heading1"/>
      </w:pPr>
      <w:r>
        <w:t xml:space="preserve">O que a gestão precisa reter</w:t>
      </w:r>
    </w:p>
    <w:bookmarkStart w:id="13" w:name="universo-operacional"/>
    <w:p>
      <w:pPr>
        <w:pStyle w:val="Heading3"/>
      </w:pPr>
      <w:r>
        <w:t xml:space="preserve">Universo operacional</w:t>
      </w:r>
    </w:p>
    <w:p>
      <w:pPr>
        <w:pStyle w:val="FirstParagraph"/>
      </w:pPr>
      <w:r>
        <w:rPr>
          <w:b/>
          <w:bCs/>
        </w:rPr>
        <w:t xml:space="preserve">Leitura.</w:t>
      </w:r>
      <w:r>
        <w:t xml:space="preserve"> </w:t>
      </w:r>
      <w:r>
        <w:t xml:space="preserve">53 das 56 escolas representam carga operacional em 2026.</w:t>
      </w:r>
    </w:p>
    <w:p>
      <w:pPr>
        <w:pStyle w:val="BodyText"/>
      </w:pPr>
      <w:r>
        <w:rPr>
          <w:b/>
          <w:bCs/>
        </w:rPr>
        <w:t xml:space="preserve">Implicação gerencial.</w:t>
      </w:r>
      <w:r>
        <w:t xml:space="preserve"> </w:t>
      </w:r>
      <w:r>
        <w:t xml:space="preserve">Manter separados os universos institucional, operacional, avaliativo e gerencial.</w:t>
      </w:r>
    </w:p>
    <w:bookmarkEnd w:id="13"/>
    <w:bookmarkStart w:id="14" w:name="heterogeneidade-das-escolas"/>
    <w:p>
      <w:pPr>
        <w:pStyle w:val="Heading3"/>
      </w:pPr>
      <w:r>
        <w:t xml:space="preserve">Heterogeneidade das escolas</w:t>
      </w:r>
    </w:p>
    <w:p>
      <w:pPr>
        <w:pStyle w:val="FirstParagraph"/>
      </w:pPr>
      <w:r>
        <w:rPr>
          <w:b/>
          <w:bCs/>
        </w:rPr>
        <w:t xml:space="preserve">Leitura.</w:t>
      </w:r>
      <w:r>
        <w:t xml:space="preserve"> </w:t>
      </w:r>
      <w:r>
        <w:t xml:space="preserve">A rede reúne diferenças relevantes de porte, estrutura, atendimento e complexidade administrativa.</w:t>
      </w:r>
    </w:p>
    <w:p>
      <w:pPr>
        <w:pStyle w:val="BodyText"/>
      </w:pPr>
      <w:r>
        <w:rPr>
          <w:b/>
          <w:bCs/>
        </w:rPr>
        <w:t xml:space="preserve">Implicação gerencial.</w:t>
      </w:r>
      <w:r>
        <w:t xml:space="preserve"> </w:t>
      </w:r>
      <w:r>
        <w:t xml:space="preserve">Planejar apoio e prioridades com base em perfis multidimensionais, não apenas no número de escolas.</w:t>
      </w:r>
    </w:p>
    <w:bookmarkEnd w:id="14"/>
    <w:bookmarkStart w:id="15" w:name="composição-das-carteiras"/>
    <w:p>
      <w:pPr>
        <w:pStyle w:val="Heading3"/>
      </w:pPr>
      <w:r>
        <w:t xml:space="preserve">Composição das carteiras</w:t>
      </w:r>
    </w:p>
    <w:p>
      <w:pPr>
        <w:pStyle w:val="FirstParagraph"/>
      </w:pPr>
      <w:r>
        <w:rPr>
          <w:b/>
          <w:bCs/>
        </w:rPr>
        <w:t xml:space="preserve">Leitura.</w:t>
      </w:r>
      <w:r>
        <w:t xml:space="preserve"> </w:t>
      </w:r>
      <w:r>
        <w:t xml:space="preserve">As 11 carteiras diferem em extensão, volume e combinação de dimensões operacionais.</w:t>
      </w:r>
    </w:p>
    <w:p>
      <w:pPr>
        <w:pStyle w:val="BodyText"/>
      </w:pPr>
      <w:r>
        <w:rPr>
          <w:b/>
          <w:bCs/>
        </w:rPr>
        <w:t xml:space="preserve">Implicação gerencial.</w:t>
      </w:r>
      <w:r>
        <w:t xml:space="preserve"> </w:t>
      </w:r>
      <w:r>
        <w:t xml:space="preserve">Revisar a distribuição por meio de discussão técnica, sem ranking ou redistribuição automática.</w:t>
      </w:r>
    </w:p>
    <w:bookmarkEnd w:id="15"/>
    <w:bookmarkStart w:id="16" w:name="resultados-educacionais"/>
    <w:p>
      <w:pPr>
        <w:pStyle w:val="Heading3"/>
      </w:pPr>
      <w:r>
        <w:t xml:space="preserve">Resultados educacionais</w:t>
      </w:r>
    </w:p>
    <w:p>
      <w:pPr>
        <w:pStyle w:val="FirstParagraph"/>
      </w:pPr>
      <w:r>
        <w:rPr>
          <w:b/>
          <w:bCs/>
        </w:rPr>
        <w:t xml:space="preserve">Leitura.</w:t>
      </w:r>
      <w:r>
        <w:t xml:space="preserve"> </w:t>
      </w:r>
      <w:r>
        <w:t xml:space="preserve">A participação aumentou, mas cobertura e composição mudaram entre 2025 e 2026.</w:t>
      </w:r>
    </w:p>
    <w:p>
      <w:pPr>
        <w:pStyle w:val="BodyText"/>
      </w:pPr>
      <w:r>
        <w:rPr>
          <w:b/>
          <w:bCs/>
        </w:rPr>
        <w:t xml:space="preserve">Implicação gerencial.</w:t>
      </w:r>
      <w:r>
        <w:t xml:space="preserve"> </w:t>
      </w:r>
      <w:r>
        <w:t xml:space="preserve">Usar os resultados para diagnóstico pedagógico; não para avaliar assessoras nem inferir impacto causal.</w:t>
      </w:r>
    </w:p>
    <w:bookmarkEnd w:id="16"/>
    <w:bookmarkStart w:id="17" w:name="métrica-de-esforço"/>
    <w:p>
      <w:pPr>
        <w:pStyle w:val="Heading3"/>
      </w:pPr>
      <w:r>
        <w:t xml:space="preserve">Métrica de esforço</w:t>
      </w:r>
    </w:p>
    <w:p>
      <w:pPr>
        <w:pStyle w:val="FirstParagraph"/>
      </w:pPr>
      <w:r>
        <w:rPr>
          <w:b/>
          <w:bCs/>
        </w:rPr>
        <w:t xml:space="preserve">Leitura.</w:t>
      </w:r>
      <w:r>
        <w:t xml:space="preserve"> </w:t>
      </w:r>
      <w:r>
        <w:t xml:space="preserve">O índice operacional é uma aproximação relativa e parcial; não equivale a horas trabalhadas.</w:t>
      </w:r>
    </w:p>
    <w:p>
      <w:pPr>
        <w:pStyle w:val="BodyText"/>
      </w:pPr>
      <w:r>
        <w:rPr>
          <w:b/>
          <w:bCs/>
        </w:rPr>
        <w:t xml:space="preserve">Implicação gerencial.</w:t>
      </w:r>
      <w:r>
        <w:t xml:space="preserve"> </w:t>
      </w:r>
      <w:r>
        <w:t xml:space="preserve">Implantar registro padronizado de visitas, duração, deslocamento, modalidade e finalidade.</w:t>
      </w:r>
    </w:p>
    <w:bookmarkEnd w:id="17"/>
    <w:bookmarkEnd w:id="18"/>
    <w:bookmarkStart w:id="23" w:name="rede-e-universos"/>
    <w:p>
      <w:pPr>
        <w:pStyle w:val="Heading1"/>
      </w:pPr>
      <w:r>
        <w:t xml:space="preserve">Rede e universos</w:t>
      </w:r>
    </w:p>
    <w:p>
      <w:pPr>
        <w:pStyle w:val="FirstParagraph"/>
      </w:pPr>
      <w:r>
        <w:t xml:space="preserve">A rede analisada reúne aproximadamente</w:t>
      </w:r>
      <w:r>
        <w:t xml:space="preserve"> </w:t>
      </w:r>
      <w:r>
        <w:rPr>
          <w:b/>
          <w:bCs/>
        </w:rPr>
        <w:t xml:space="preserve">20.459 matrículas</w:t>
      </w:r>
      <w:r>
        <w:t xml:space="preserve">,</w:t>
      </w:r>
      <w:r>
        <w:t xml:space="preserve"> </w:t>
      </w:r>
      <w:r>
        <w:rPr>
          <w:b/>
          <w:bCs/>
        </w:rPr>
        <w:t xml:space="preserve">869 turmas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1.299 docentes</w:t>
      </w:r>
      <w:r>
        <w:t xml:space="preserve"> </w:t>
      </w:r>
      <w:r>
        <w:t xml:space="preserve">nos anos iniciais. A escola mediana possui</w:t>
      </w:r>
      <w:r>
        <w:t xml:space="preserve"> </w:t>
      </w:r>
      <w:r>
        <w:rPr>
          <w:b/>
          <w:bCs/>
        </w:rPr>
        <w:t xml:space="preserve">378 matrículas</w:t>
      </w:r>
      <w:r>
        <w:t xml:space="preserve">, e a média ponderada é de</w:t>
      </w:r>
      <w:r>
        <w:t xml:space="preserve"> </w:t>
      </w:r>
      <w:r>
        <w:rPr>
          <w:b/>
          <w:bCs/>
        </w:rPr>
        <w:t xml:space="preserve">23,4 estudantes por turma</w:t>
      </w:r>
      <w:r>
        <w:t xml:space="preserve">.</w:t>
      </w:r>
    </w:p>
    <w:p>
      <w:pPr>
        <w:pStyle w:val="BodyText"/>
      </w:pPr>
      <w:r>
        <w:t xml:space="preserve">Cerca de</w:t>
      </w:r>
      <w:r>
        <w:t xml:space="preserve"> </w:t>
      </w:r>
      <w:r>
        <w:rPr>
          <w:b/>
          <w:bCs/>
        </w:rPr>
        <w:t xml:space="preserve">18,5%</w:t>
      </w:r>
      <w:r>
        <w:t xml:space="preserve"> </w:t>
      </w:r>
      <w:r>
        <w:t xml:space="preserve">das matrículas são de tempo integral e</w:t>
      </w:r>
      <w:r>
        <w:t xml:space="preserve"> </w:t>
      </w:r>
      <w:r>
        <w:rPr>
          <w:b/>
          <w:bCs/>
        </w:rPr>
        <w:t xml:space="preserve">8,4%</w:t>
      </w:r>
      <w:r>
        <w:t xml:space="preserve"> </w:t>
      </w:r>
      <w:r>
        <w:t xml:space="preserve">correspondem à educação especial. O índice médio de infraestrutura é</w:t>
      </w:r>
      <w:r>
        <w:t xml:space="preserve"> </w:t>
      </w:r>
      <w:r>
        <w:rPr>
          <w:b/>
          <w:bCs/>
        </w:rPr>
        <w:t xml:space="preserve">90,0</w:t>
      </w:r>
      <w:r>
        <w:t xml:space="preserve">, mas</w:t>
      </w:r>
      <w:r>
        <w:t xml:space="preserve"> </w:t>
      </w:r>
      <w:r>
        <w:rPr>
          <w:b/>
          <w:bCs/>
        </w:rPr>
        <w:t xml:space="preserve">52 escolas</w:t>
      </w:r>
      <w:r>
        <w:t xml:space="preserve"> </w:t>
      </w:r>
      <w:r>
        <w:t xml:space="preserve">apresentam alerta de composição entre as avaliações de 2025 e 2026.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universos"/>
          <w:p>
            <w:pPr>
              <w:pStyle w:val="Compact"/>
              <w:jc w:val="center"/>
            </w:pPr>
            <w:r>
              <w:drawing>
                <wp:inline>
                  <wp:extent cx="5334000" cy="3200399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entrega_final/versoes/entrega_modulos_15_24_c770cf6_v001/06_graficos/G01_universos_estudo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1: Universos institucionais, operacionais e avaliativos</w:t>
            </w:r>
          </w:p>
          <w:bookmarkEnd w:id="22"/>
        </w:tc>
      </w:tr>
    </w:tbl>
    <w:p>
      <w:pPr>
        <w:pStyle w:val="BodyText"/>
      </w:pPr>
      <w:r>
        <w:t xml:space="preserve">A separação dos universos é uma regra de governança: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institucional:</w:t>
      </w:r>
      <w:r>
        <w:t xml:space="preserve"> </w:t>
      </w:r>
      <w:r>
        <w:t xml:space="preserve">caracteriza a rede;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operacional:</w:t>
      </w:r>
      <w:r>
        <w:t xml:space="preserve"> </w:t>
      </w:r>
      <w:r>
        <w:t xml:space="preserve">representa demanda de assessoramento em 2026;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avaliativo:</w:t>
      </w:r>
      <w:r>
        <w:t xml:space="preserve"> </w:t>
      </w:r>
      <w:r>
        <w:t xml:space="preserve">delimita a cobertura das avaliações;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gerencial:</w:t>
      </w:r>
      <w:r>
        <w:t xml:space="preserve"> </w:t>
      </w:r>
      <w:r>
        <w:t xml:space="preserve">organiza a descrição das carteiras.</w:t>
      </w:r>
    </w:p>
    <w:p>
      <w:pPr>
        <w:pStyle w:val="FirstParagraph"/>
      </w:pPr>
      <w:r>
        <w:t xml:space="preserve">Misturar esses universos produziria conclusões incorretas sobre carga, cobertura e resultados.</w:t>
      </w:r>
    </w:p>
    <w:bookmarkEnd w:id="23"/>
    <w:bookmarkStart w:id="28" w:name="participação-e-resultados-educacionais"/>
    <w:p>
      <w:pPr>
        <w:pStyle w:val="Heading1"/>
      </w:pPr>
      <w:r>
        <w:t xml:space="preserve">Participação e resultados educacionais</w:t>
      </w:r>
    </w:p>
    <w:p>
      <w:pPr>
        <w:pStyle w:val="FirstParagraph"/>
      </w:pPr>
      <w:r>
        <w:t xml:space="preserve">O universo avaliativo passou de</w:t>
      </w:r>
      <w:r>
        <w:t xml:space="preserve"> </w:t>
      </w:r>
      <w:r>
        <w:rPr>
          <w:b/>
          <w:bCs/>
        </w:rPr>
        <w:t xml:space="preserve">54 escolas em 2025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56 em 2026</w:t>
      </w:r>
      <w:r>
        <w:t xml:space="preserve">. A participação agregada estimada aumentou de</w:t>
      </w:r>
      <w:r>
        <w:t xml:space="preserve"> </w:t>
      </w:r>
      <w:r>
        <w:rPr>
          <w:b/>
          <w:bCs/>
        </w:rPr>
        <w:t xml:space="preserve">77,5%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85,6%</w:t>
      </w:r>
      <w:r>
        <w:t xml:space="preserve">, uma variação aproximada de</w:t>
      </w:r>
      <w:r>
        <w:t xml:space="preserve"> </w:t>
      </w:r>
      <w:r>
        <w:rPr>
          <w:b/>
          <w:bCs/>
        </w:rPr>
        <w:t xml:space="preserve">8,1 pontos percentuais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participacao"/>
          <w:p>
            <w:pPr>
              <w:pStyle w:val="Compact"/>
              <w:jc w:val="center"/>
            </w:pPr>
            <w:r>
              <w:drawing>
                <wp:inline>
                  <wp:extent cx="5334000" cy="3200399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entrega_final/versoes/entrega_modulos_15_24_c770cf6_v001/06_graficos/G03_participacao_por_ano_escolar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2: Participação nas avaliações por ano escolar</w:t>
            </w:r>
          </w:p>
          <w:bookmarkEnd w:id="27"/>
        </w:tc>
      </w:tr>
    </w:tbl>
    <w:p>
      <w:pPr>
        <w:pStyle w:val="BodyText"/>
      </w:pPr>
      <w:r>
        <w:t xml:space="preserve">O aumento da participação é institucionalmente relevante porque amplia a cobertura do diagnóstico. Ao mesmo tempo, altera a composição observada. As diferenças de proficiência entre 2025 e 2026 devem, portanto, ser lidas com cautela:</w:t>
      </w:r>
    </w:p>
    <w:p>
      <w:pPr>
        <w:pStyle w:val="Compact"/>
        <w:numPr>
          <w:ilvl w:val="0"/>
          <w:numId w:val="1002"/>
        </w:numPr>
      </w:pPr>
      <w:r>
        <w:t xml:space="preserve">2025 antecede o assessoramento;</w:t>
      </w:r>
    </w:p>
    <w:p>
      <w:pPr>
        <w:pStyle w:val="Compact"/>
        <w:numPr>
          <w:ilvl w:val="0"/>
          <w:numId w:val="1002"/>
        </w:numPr>
      </w:pPr>
      <w:r>
        <w:t xml:space="preserve">a cobertura não é constante;</w:t>
      </w:r>
    </w:p>
    <w:p>
      <w:pPr>
        <w:pStyle w:val="Compact"/>
        <w:numPr>
          <w:ilvl w:val="0"/>
          <w:numId w:val="1002"/>
        </w:numPr>
      </w:pPr>
      <w:r>
        <w:t xml:space="preserve">as populações avaliadas podem diferir;</w:t>
      </w:r>
    </w:p>
    <w:p>
      <w:pPr>
        <w:pStyle w:val="Compact"/>
        <w:numPr>
          <w:ilvl w:val="0"/>
          <w:numId w:val="1002"/>
        </w:numPr>
      </w:pPr>
      <w:r>
        <w:t xml:space="preserve">não existe medida individualizada e completa da dose recebida;</w:t>
      </w:r>
    </w:p>
    <w:p>
      <w:pPr>
        <w:pStyle w:val="Compact"/>
        <w:numPr>
          <w:ilvl w:val="0"/>
          <w:numId w:val="1002"/>
        </w:numPr>
      </w:pPr>
      <w:r>
        <w:t xml:space="preserve">o desenho atual não identifica efeito causal.</w:t>
      </w:r>
    </w:p>
    <w:p>
      <w:pPr>
        <w:pStyle w:val="FirstParagraph"/>
      </w:pPr>
      <w:r>
        <w:t xml:space="preserve">A utilização gerencial mais segura é orientar perguntas pedagógicas e prioridades de acompanhamento, jamais atribuir os resultados às assessoras.</w:t>
      </w:r>
    </w:p>
    <w:bookmarkEnd w:id="28"/>
    <w:bookmarkStart w:id="38" w:name="X6c2386466052ce93a6fae1464dba2f1e6164d9e"/>
    <w:p>
      <w:pPr>
        <w:pStyle w:val="Heading1"/>
      </w:pPr>
      <w:r>
        <w:t xml:space="preserve">Carteiras: diferenças que o número de escolas não mostra</w:t>
      </w:r>
    </w:p>
    <w:p>
      <w:pPr>
        <w:pStyle w:val="FirstParagraph"/>
      </w:pPr>
      <w:r>
        <w:t xml:space="preserve">As</w:t>
      </w:r>
      <w:r>
        <w:t xml:space="preserve"> </w:t>
      </w:r>
      <w:r>
        <w:rPr>
          <w:b/>
          <w:bCs/>
        </w:rPr>
        <w:t xml:space="preserve">11 carteiras gerenciais</w:t>
      </w:r>
      <w:r>
        <w:t xml:space="preserve"> </w:t>
      </w:r>
      <w:r>
        <w:t xml:space="preserve">abrangem</w:t>
      </w:r>
      <w:r>
        <w:t xml:space="preserve"> </w:t>
      </w:r>
      <w:r>
        <w:rPr>
          <w:b/>
          <w:bCs/>
        </w:rPr>
        <w:t xml:space="preserve">53 escolas operacionais</w:t>
      </w:r>
      <w:r>
        <w:t xml:space="preserve">.</w:t>
      </w:r>
    </w:p>
    <w:p>
      <w:pPr>
        <w:pStyle w:val="BodyText"/>
      </w:pPr>
      <w:r>
        <w:t xml:space="preserve">Entre as carteiras, observa-se:</w:t>
      </w:r>
    </w:p>
    <w:p>
      <w:pPr>
        <w:pStyle w:val="Compact"/>
        <w:numPr>
          <w:ilvl w:val="0"/>
          <w:numId w:val="1003"/>
        </w:numPr>
      </w:pPr>
      <w:r>
        <w:t xml:space="preserve">de</w:t>
      </w:r>
      <w:r>
        <w:t xml:space="preserve"> </w:t>
      </w:r>
      <w:r>
        <w:rPr>
          <w:b/>
          <w:bCs/>
        </w:rPr>
        <w:t xml:space="preserve">4 a 6 escolas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de</w:t>
      </w:r>
      <w:r>
        <w:t xml:space="preserve"> </w:t>
      </w:r>
      <w:r>
        <w:rPr>
          <w:b/>
          <w:bCs/>
        </w:rPr>
        <w:t xml:space="preserve">1.261 a 2.753 matrículas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de</w:t>
      </w:r>
      <w:r>
        <w:t xml:space="preserve"> </w:t>
      </w:r>
      <w:r>
        <w:rPr>
          <w:b/>
          <w:bCs/>
        </w:rPr>
        <w:t xml:space="preserve">55 a 117 turmas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soma do índice operacional entre</w:t>
      </w:r>
      <w:r>
        <w:t xml:space="preserve"> </w:t>
      </w:r>
      <w:r>
        <w:rPr>
          <w:b/>
          <w:bCs/>
        </w:rPr>
        <w:t xml:space="preserve">139,1 e 249,2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média do índice das escolas entre</w:t>
      </w:r>
      <w:r>
        <w:t xml:space="preserve"> </w:t>
      </w:r>
      <w:r>
        <w:rPr>
          <w:b/>
          <w:bCs/>
        </w:rPr>
        <w:t xml:space="preserve">28,2 e 45,4</w:t>
      </w:r>
      <w:r>
        <w:t xml:space="preserve">.</w:t>
      </w:r>
    </w:p>
    <w:p>
      <w:pPr>
        <w:pStyle w:val="FirstParagraph"/>
      </w:pPr>
      <w:r>
        <w:t xml:space="preserve">Essas faixas descrevem heterogeneidade;</w:t>
      </w:r>
      <w:r>
        <w:t xml:space="preserve"> </w:t>
      </w:r>
      <w:r>
        <w:rPr>
          <w:b/>
          <w:bCs/>
        </w:rPr>
        <w:t xml:space="preserve">não constituem ranking</w:t>
      </w:r>
      <w:r>
        <w:t xml:space="preserve">. A soma do índice é influenciada tanto pelo número de escolas quanto pelo perfil delas. A média, por sua vez, não captura integralmente extensão, deslocamento, emergências ou trabalho qualitativo.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extensao-intensidade"/>
          <w:p>
            <w:pPr>
              <w:pStyle w:val="Compact"/>
              <w:jc w:val="center"/>
            </w:pPr>
            <w:r>
              <w:drawing>
                <wp:inline>
                  <wp:extent cx="5334000" cy="320039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ntrega_final/versoes/entrega_modulos_15_24_c770cf6_v001/06_graficos/G05_extensao_intensidade_carteira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3: Extensão e intensidade relativa das carteiras</w:t>
            </w:r>
          </w:p>
          <w:bookmarkEnd w:id="32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dimensoes"/>
          <w:p>
            <w:pPr>
              <w:pStyle w:val="Compact"/>
              <w:jc w:val="center"/>
            </w:pPr>
            <w:r>
              <w:drawing>
                <wp:inline>
                  <wp:extent cx="5334000" cy="320039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entrega_final/versoes/entrega_modulos_15_24_c770cf6_v001/06_graficos/G06_dimensoes_operacionais_carteiras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00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4: Composição das dimensões operacionais das carteiras</w:t>
            </w:r>
          </w:p>
          <w:bookmarkEnd w:id="36"/>
        </w:tc>
      </w:tr>
    </w:tbl>
    <w:bookmarkStart w:id="37" w:name="como-usar-essa-informação"/>
    <w:p>
      <w:pPr>
        <w:pStyle w:val="Heading2"/>
      </w:pPr>
      <w:r>
        <w:t xml:space="preserve">Como usar essa informação</w:t>
      </w:r>
    </w:p>
    <w:p>
      <w:pPr>
        <w:pStyle w:val="FirstParagraph"/>
      </w:pPr>
      <w:r>
        <w:t xml:space="preserve">A gestão pode utilizar o diagnóstico para organizar uma</w:t>
      </w:r>
      <w:r>
        <w:t xml:space="preserve"> </w:t>
      </w:r>
      <w:r>
        <w:rPr>
          <w:b/>
          <w:bCs/>
        </w:rPr>
        <w:t xml:space="preserve">revisão técnica colegiada</w:t>
      </w:r>
      <w:r>
        <w:t xml:space="preserve">, examinando:</w:t>
      </w:r>
    </w:p>
    <w:p>
      <w:pPr>
        <w:pStyle w:val="Compact"/>
        <w:numPr>
          <w:ilvl w:val="0"/>
          <w:numId w:val="1004"/>
        </w:numPr>
      </w:pPr>
      <w:r>
        <w:t xml:space="preserve">concentração de escolas de maior porte;</w:t>
      </w:r>
    </w:p>
    <w:p>
      <w:pPr>
        <w:pStyle w:val="Compact"/>
        <w:numPr>
          <w:ilvl w:val="0"/>
          <w:numId w:val="1004"/>
        </w:numPr>
      </w:pPr>
      <w:r>
        <w:t xml:space="preserve">presença de estruturas ou ofertas que exigem acompanhamento específico;</w:t>
      </w:r>
    </w:p>
    <w:p>
      <w:pPr>
        <w:pStyle w:val="Compact"/>
        <w:numPr>
          <w:ilvl w:val="0"/>
          <w:numId w:val="1004"/>
        </w:numPr>
      </w:pPr>
      <w:r>
        <w:t xml:space="preserve">combinação de complexidades administrativas;</w:t>
      </w:r>
    </w:p>
    <w:p>
      <w:pPr>
        <w:pStyle w:val="Compact"/>
        <w:numPr>
          <w:ilvl w:val="0"/>
          <w:numId w:val="1004"/>
        </w:numPr>
      </w:pPr>
      <w:r>
        <w:t xml:space="preserve">distância entre quantidade de escolas e volume potencial de demanda;</w:t>
      </w:r>
    </w:p>
    <w:p>
      <w:pPr>
        <w:pStyle w:val="Compact"/>
        <w:numPr>
          <w:ilvl w:val="0"/>
          <w:numId w:val="1004"/>
        </w:numPr>
      </w:pPr>
      <w:r>
        <w:t xml:space="preserve">conhecimento qualitativo das situações em curso;</w:t>
      </w:r>
    </w:p>
    <w:p>
      <w:pPr>
        <w:pStyle w:val="Compact"/>
        <w:numPr>
          <w:ilvl w:val="0"/>
          <w:numId w:val="1004"/>
        </w:numPr>
      </w:pPr>
      <w:r>
        <w:t xml:space="preserve">disponibilidade, experiência e especialização das assessoras.</w:t>
      </w:r>
    </w:p>
    <w:p>
      <w:pPr>
        <w:pStyle w:val="FirstParagraph"/>
      </w:pPr>
      <w:r>
        <w:t xml:space="preserve">O diagnóstico não autoriza uma redistribuição automática. Ele oferece uma linguagem comum para qualificar a discussão.</w:t>
      </w:r>
    </w:p>
    <w:bookmarkEnd w:id="37"/>
    <w:bookmarkEnd w:id="38"/>
    <w:bookmarkStart w:id="44" w:name="agenda-recomendada"/>
    <w:p>
      <w:pPr>
        <w:pStyle w:val="Heading1"/>
      </w:pPr>
      <w:r>
        <w:t xml:space="preserve">Agenda recomendada</w:t>
      </w:r>
    </w:p>
    <w:bookmarkStart w:id="39" w:name="imediato-pactuar-regras-de-leitura"/>
    <w:p>
      <w:pPr>
        <w:pStyle w:val="Heading2"/>
      </w:pPr>
      <w:r>
        <w:t xml:space="preserve">1. Imediato: pactuar regras de leitura</w:t>
      </w:r>
    </w:p>
    <w:p>
      <w:pPr>
        <w:pStyle w:val="FirstParagraph"/>
      </w:pPr>
      <w:r>
        <w:t xml:space="preserve">Formalizar que:</w:t>
      </w:r>
    </w:p>
    <w:p>
      <w:pPr>
        <w:pStyle w:val="Compact"/>
        <w:numPr>
          <w:ilvl w:val="0"/>
          <w:numId w:val="1005"/>
        </w:numPr>
      </w:pPr>
      <w:r>
        <w:t xml:space="preserve">escolas não operacionais não contam como carga;</w:t>
      </w:r>
    </w:p>
    <w:p>
      <w:pPr>
        <w:pStyle w:val="Compact"/>
        <w:numPr>
          <w:ilvl w:val="0"/>
          <w:numId w:val="1005"/>
        </w:numPr>
      </w:pPr>
      <w:r>
        <w:t xml:space="preserve">resultados educacionais não avaliam assessoras;</w:t>
      </w:r>
    </w:p>
    <w:p>
      <w:pPr>
        <w:pStyle w:val="Compact"/>
        <w:numPr>
          <w:ilvl w:val="0"/>
          <w:numId w:val="1005"/>
        </w:numPr>
      </w:pPr>
      <w:r>
        <w:t xml:space="preserve">o índice operacional não equivale à carga horária;</w:t>
      </w:r>
    </w:p>
    <w:p>
      <w:pPr>
        <w:pStyle w:val="Compact"/>
        <w:numPr>
          <w:ilvl w:val="0"/>
          <w:numId w:val="1005"/>
        </w:numPr>
      </w:pPr>
      <w:r>
        <w:t xml:space="preserve">diferenças entre carteiras não devem ser transformadas em ranking;</w:t>
      </w:r>
    </w:p>
    <w:p>
      <w:pPr>
        <w:pStyle w:val="Compact"/>
        <w:numPr>
          <w:ilvl w:val="0"/>
          <w:numId w:val="1005"/>
        </w:numPr>
      </w:pPr>
      <w:r>
        <w:t xml:space="preserve">decisões combinam evidência quantitativa e conhecimento profissional.</w:t>
      </w:r>
    </w:p>
    <w:bookmarkEnd w:id="39"/>
    <w:bookmarkStart w:id="40" w:name="X9a60d34932c288f0b7dfa6fe74ab606a23c182f"/>
    <w:p>
      <w:pPr>
        <w:pStyle w:val="Heading2"/>
      </w:pPr>
      <w:r>
        <w:t xml:space="preserve">2. Curto prazo: revisar as carteiras em oficina técnica</w:t>
      </w:r>
    </w:p>
    <w:p>
      <w:pPr>
        <w:pStyle w:val="FirstParagraph"/>
      </w:pPr>
      <w:r>
        <w:t xml:space="preserve">Realizar uma oficina com a coordenação e a equipe de assessoras para:</w:t>
      </w:r>
    </w:p>
    <w:p>
      <w:pPr>
        <w:pStyle w:val="Compact"/>
        <w:numPr>
          <w:ilvl w:val="0"/>
          <w:numId w:val="1006"/>
        </w:numPr>
      </w:pPr>
      <w:r>
        <w:t xml:space="preserve">examinar os perfis de escola e carteira;</w:t>
      </w:r>
    </w:p>
    <w:p>
      <w:pPr>
        <w:pStyle w:val="Compact"/>
        <w:numPr>
          <w:ilvl w:val="0"/>
          <w:numId w:val="1006"/>
        </w:numPr>
      </w:pPr>
      <w:r>
        <w:t xml:space="preserve">registrar fatores qualitativos ainda ausentes nas bases;</w:t>
      </w:r>
    </w:p>
    <w:p>
      <w:pPr>
        <w:pStyle w:val="Compact"/>
        <w:numPr>
          <w:ilvl w:val="0"/>
          <w:numId w:val="1006"/>
        </w:numPr>
      </w:pPr>
      <w:r>
        <w:t xml:space="preserve">identificar casos que merecem acompanhamento prioritário;</w:t>
      </w:r>
    </w:p>
    <w:p>
      <w:pPr>
        <w:pStyle w:val="Compact"/>
        <w:numPr>
          <w:ilvl w:val="0"/>
          <w:numId w:val="1006"/>
        </w:numPr>
      </w:pPr>
      <w:r>
        <w:t xml:space="preserve">testar cenários de ajuste sem adotar automaticamente qualquer redistribuição;</w:t>
      </w:r>
    </w:p>
    <w:p>
      <w:pPr>
        <w:pStyle w:val="Compact"/>
        <w:numPr>
          <w:ilvl w:val="0"/>
          <w:numId w:val="1006"/>
        </w:numPr>
      </w:pPr>
      <w:r>
        <w:t xml:space="preserve">documentar as justificativas das decisões.</w:t>
      </w:r>
    </w:p>
    <w:bookmarkEnd w:id="40"/>
    <w:bookmarkStart w:id="41" w:name="X3e223ccf7491fa43fe2b2c1e347a84f527dba90"/>
    <w:p>
      <w:pPr>
        <w:pStyle w:val="Heading2"/>
      </w:pPr>
      <w:r>
        <w:t xml:space="preserve">3. Curto prazo: implantar registro mínimo do assessoramento</w:t>
      </w:r>
    </w:p>
    <w:p>
      <w:pPr>
        <w:pStyle w:val="FirstParagraph"/>
      </w:pPr>
      <w:r>
        <w:t xml:space="preserve">Criar instrumento padronizado por ação, contendo ao menos:</w:t>
      </w:r>
    </w:p>
    <w:p>
      <w:pPr>
        <w:pStyle w:val="Compact"/>
        <w:numPr>
          <w:ilvl w:val="0"/>
          <w:numId w:val="1007"/>
        </w:numPr>
      </w:pPr>
      <w:r>
        <w:t xml:space="preserve">escola;</w:t>
      </w:r>
    </w:p>
    <w:p>
      <w:pPr>
        <w:pStyle w:val="Compact"/>
        <w:numPr>
          <w:ilvl w:val="0"/>
          <w:numId w:val="1007"/>
        </w:numPr>
      </w:pPr>
      <w:r>
        <w:t xml:space="preserve">data;</w:t>
      </w:r>
    </w:p>
    <w:p>
      <w:pPr>
        <w:pStyle w:val="Compact"/>
        <w:numPr>
          <w:ilvl w:val="0"/>
          <w:numId w:val="1007"/>
        </w:numPr>
      </w:pPr>
      <w:r>
        <w:t xml:space="preserve">assessora;</w:t>
      </w:r>
    </w:p>
    <w:p>
      <w:pPr>
        <w:pStyle w:val="Compact"/>
        <w:numPr>
          <w:ilvl w:val="0"/>
          <w:numId w:val="1007"/>
        </w:numPr>
      </w:pPr>
      <w:r>
        <w:t xml:space="preserve">modalidade presencial ou remota;</w:t>
      </w:r>
    </w:p>
    <w:p>
      <w:pPr>
        <w:pStyle w:val="Compact"/>
        <w:numPr>
          <w:ilvl w:val="0"/>
          <w:numId w:val="1007"/>
        </w:numPr>
      </w:pPr>
      <w:r>
        <w:t xml:space="preserve">duração;</w:t>
      </w:r>
    </w:p>
    <w:p>
      <w:pPr>
        <w:pStyle w:val="Compact"/>
        <w:numPr>
          <w:ilvl w:val="0"/>
          <w:numId w:val="1007"/>
        </w:numPr>
      </w:pPr>
      <w:r>
        <w:t xml:space="preserve">tempo ou faixa de deslocamento;</w:t>
      </w:r>
    </w:p>
    <w:p>
      <w:pPr>
        <w:pStyle w:val="Compact"/>
        <w:numPr>
          <w:ilvl w:val="0"/>
          <w:numId w:val="1007"/>
        </w:numPr>
      </w:pPr>
      <w:r>
        <w:t xml:space="preserve">objetivo da ação;</w:t>
      </w:r>
    </w:p>
    <w:p>
      <w:pPr>
        <w:pStyle w:val="Compact"/>
        <w:numPr>
          <w:ilvl w:val="0"/>
          <w:numId w:val="1007"/>
        </w:numPr>
      </w:pPr>
      <w:r>
        <w:t xml:space="preserve">público envolvido;</w:t>
      </w:r>
    </w:p>
    <w:p>
      <w:pPr>
        <w:pStyle w:val="Compact"/>
        <w:numPr>
          <w:ilvl w:val="0"/>
          <w:numId w:val="1007"/>
        </w:numPr>
      </w:pPr>
      <w:r>
        <w:t xml:space="preserve">tema;</w:t>
      </w:r>
    </w:p>
    <w:p>
      <w:pPr>
        <w:pStyle w:val="Compact"/>
        <w:numPr>
          <w:ilvl w:val="0"/>
          <w:numId w:val="1007"/>
        </w:numPr>
      </w:pPr>
      <w:r>
        <w:t xml:space="preserve">encaminhamentos;</w:t>
      </w:r>
    </w:p>
    <w:p>
      <w:pPr>
        <w:pStyle w:val="Compact"/>
        <w:numPr>
          <w:ilvl w:val="0"/>
          <w:numId w:val="1007"/>
        </w:numPr>
      </w:pPr>
      <w:r>
        <w:t xml:space="preserve">necessidade de retorno;</w:t>
      </w:r>
    </w:p>
    <w:p>
      <w:pPr>
        <w:pStyle w:val="Compact"/>
        <w:numPr>
          <w:ilvl w:val="0"/>
          <w:numId w:val="1007"/>
        </w:numPr>
      </w:pPr>
      <w:r>
        <w:t xml:space="preserve">ocorrência emergencial;</w:t>
      </w:r>
    </w:p>
    <w:p>
      <w:pPr>
        <w:pStyle w:val="Compact"/>
        <w:numPr>
          <w:ilvl w:val="0"/>
          <w:numId w:val="1007"/>
        </w:numPr>
      </w:pPr>
      <w:r>
        <w:t xml:space="preserve">atividade realizada fora de uma escola específica.</w:t>
      </w:r>
    </w:p>
    <w:p>
      <w:pPr>
        <w:pStyle w:val="FirstParagraph"/>
      </w:pPr>
      <w:r>
        <w:t xml:space="preserve">Esse registro permitirá medir</w:t>
      </w:r>
      <w:r>
        <w:t xml:space="preserve"> </w:t>
      </w:r>
      <w:r>
        <w:rPr>
          <w:b/>
          <w:bCs/>
        </w:rPr>
        <w:t xml:space="preserve">dose</w:t>
      </w:r>
      <w:r>
        <w:t xml:space="preserve">,</w:t>
      </w:r>
      <w:r>
        <w:t xml:space="preserve"> </w:t>
      </w:r>
      <w:r>
        <w:rPr>
          <w:b/>
          <w:bCs/>
        </w:rPr>
        <w:t xml:space="preserve">cobertura</w:t>
      </w:r>
      <w:r>
        <w:t xml:space="preserve">,</w:t>
      </w:r>
      <w:r>
        <w:t xml:space="preserve"> </w:t>
      </w:r>
      <w:r>
        <w:rPr>
          <w:b/>
          <w:bCs/>
        </w:rPr>
        <w:t xml:space="preserve">frequência</w:t>
      </w:r>
      <w:r>
        <w:t xml:space="preserve">,</w:t>
      </w:r>
      <w:r>
        <w:t xml:space="preserve"> </w:t>
      </w:r>
      <w:r>
        <w:rPr>
          <w:b/>
          <w:bCs/>
        </w:rPr>
        <w:t xml:space="preserve">intensidade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continuidade</w:t>
      </w:r>
      <w:r>
        <w:t xml:space="preserve">.</w:t>
      </w:r>
    </w:p>
    <w:bookmarkEnd w:id="41"/>
    <w:bookmarkStart w:id="42" w:name="médio-prazo-consolidar-painel-de-gestão"/>
    <w:p>
      <w:pPr>
        <w:pStyle w:val="Heading2"/>
      </w:pPr>
      <w:r>
        <w:t xml:space="preserve">4. Médio prazo: consolidar painel de gestão</w:t>
      </w:r>
    </w:p>
    <w:p>
      <w:pPr>
        <w:pStyle w:val="FirstParagraph"/>
      </w:pPr>
      <w:r>
        <w:t xml:space="preserve">O painel deve separar:</w:t>
      </w:r>
    </w:p>
    <w:p>
      <w:pPr>
        <w:pStyle w:val="Compact"/>
        <w:numPr>
          <w:ilvl w:val="0"/>
          <w:numId w:val="1008"/>
        </w:numPr>
      </w:pPr>
      <w:r>
        <w:t xml:space="preserve">estoque de escolas por carteira;</w:t>
      </w:r>
    </w:p>
    <w:p>
      <w:pPr>
        <w:pStyle w:val="Compact"/>
        <w:numPr>
          <w:ilvl w:val="0"/>
          <w:numId w:val="1008"/>
        </w:numPr>
      </w:pPr>
      <w:r>
        <w:t xml:space="preserve">fluxo de ações;</w:t>
      </w:r>
    </w:p>
    <w:p>
      <w:pPr>
        <w:pStyle w:val="Compact"/>
        <w:numPr>
          <w:ilvl w:val="0"/>
          <w:numId w:val="1008"/>
        </w:numPr>
      </w:pPr>
      <w:r>
        <w:t xml:space="preserve">horas diretas e indiretas;</w:t>
      </w:r>
    </w:p>
    <w:p>
      <w:pPr>
        <w:pStyle w:val="Compact"/>
        <w:numPr>
          <w:ilvl w:val="0"/>
          <w:numId w:val="1008"/>
        </w:numPr>
      </w:pPr>
      <w:r>
        <w:t xml:space="preserve">visitas e retornos;</w:t>
      </w:r>
    </w:p>
    <w:p>
      <w:pPr>
        <w:pStyle w:val="Compact"/>
        <w:numPr>
          <w:ilvl w:val="0"/>
          <w:numId w:val="1008"/>
        </w:numPr>
      </w:pPr>
      <w:r>
        <w:t xml:space="preserve">demanda emergencial;</w:t>
      </w:r>
    </w:p>
    <w:p>
      <w:pPr>
        <w:pStyle w:val="Compact"/>
        <w:numPr>
          <w:ilvl w:val="0"/>
          <w:numId w:val="1008"/>
        </w:numPr>
      </w:pPr>
      <w:r>
        <w:t xml:space="preserve">cobertura por escola;</w:t>
      </w:r>
    </w:p>
    <w:p>
      <w:pPr>
        <w:pStyle w:val="Compact"/>
        <w:numPr>
          <w:ilvl w:val="0"/>
          <w:numId w:val="1008"/>
        </w:numPr>
      </w:pPr>
      <w:r>
        <w:t xml:space="preserve">temas de assessoramento;</w:t>
      </w:r>
    </w:p>
    <w:p>
      <w:pPr>
        <w:pStyle w:val="Compact"/>
        <w:numPr>
          <w:ilvl w:val="0"/>
          <w:numId w:val="1008"/>
        </w:numPr>
      </w:pPr>
      <w:r>
        <w:t xml:space="preserve">alertas de escolas com baixa ou alta intensidade de acompanhamento.</w:t>
      </w:r>
    </w:p>
    <w:bookmarkEnd w:id="42"/>
    <w:bookmarkStart w:id="43" w:name="médio-prazo-preparar-avaliação-futura"/>
    <w:p>
      <w:pPr>
        <w:pStyle w:val="Heading2"/>
      </w:pPr>
      <w:r>
        <w:t xml:space="preserve">5. Médio prazo: preparar avaliação futura</w:t>
      </w:r>
    </w:p>
    <w:p>
      <w:pPr>
        <w:pStyle w:val="FirstParagraph"/>
      </w:pPr>
      <w:r>
        <w:t xml:space="preserve">Uma avaliação de impacto mais robusta exigirá:</w:t>
      </w:r>
    </w:p>
    <w:p>
      <w:pPr>
        <w:pStyle w:val="Compact"/>
        <w:numPr>
          <w:ilvl w:val="0"/>
          <w:numId w:val="1009"/>
        </w:numPr>
      </w:pPr>
      <w:r>
        <w:t xml:space="preserve">medida de dose por escola e período;</w:t>
      </w:r>
    </w:p>
    <w:p>
      <w:pPr>
        <w:pStyle w:val="Compact"/>
        <w:numPr>
          <w:ilvl w:val="0"/>
          <w:numId w:val="1009"/>
        </w:numPr>
      </w:pPr>
      <w:r>
        <w:t xml:space="preserve">data de início e continuidade do acompanhamento;</w:t>
      </w:r>
    </w:p>
    <w:p>
      <w:pPr>
        <w:pStyle w:val="Compact"/>
        <w:numPr>
          <w:ilvl w:val="0"/>
          <w:numId w:val="1009"/>
        </w:numPr>
      </w:pPr>
      <w:r>
        <w:t xml:space="preserve">definição consistente do grupo elegível;</w:t>
      </w:r>
    </w:p>
    <w:p>
      <w:pPr>
        <w:pStyle w:val="Compact"/>
        <w:numPr>
          <w:ilvl w:val="0"/>
          <w:numId w:val="1009"/>
        </w:numPr>
      </w:pPr>
      <w:r>
        <w:t xml:space="preserve">resultados comparáveis no tempo;</w:t>
      </w:r>
    </w:p>
    <w:p>
      <w:pPr>
        <w:pStyle w:val="Compact"/>
        <w:numPr>
          <w:ilvl w:val="0"/>
          <w:numId w:val="1009"/>
        </w:numPr>
      </w:pPr>
      <w:r>
        <w:t xml:space="preserve">controle de cobertura e composição;</w:t>
      </w:r>
    </w:p>
    <w:p>
      <w:pPr>
        <w:pStyle w:val="Compact"/>
        <w:numPr>
          <w:ilvl w:val="0"/>
          <w:numId w:val="1009"/>
        </w:numPr>
      </w:pPr>
      <w:r>
        <w:t xml:space="preserve">estratégia de identificação previamente documentada.</w:t>
      </w:r>
    </w:p>
    <w:bookmarkEnd w:id="43"/>
    <w:bookmarkEnd w:id="44"/>
    <w:bookmarkStart w:id="45" w:name="riscos-de-interpretação"/>
    <w:p>
      <w:pPr>
        <w:pStyle w:val="Heading1"/>
      </w:pPr>
      <w:r>
        <w:t xml:space="preserve">Riscos de interpretação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Desenho analítico:</w:t>
      </w:r>
      <w:r>
        <w:t xml:space="preserve"> </w:t>
      </w:r>
      <w:r>
        <w:t xml:space="preserve">O estudo é observacional e descritivo; não identifica efeitos causais.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Linha de base:</w:t>
      </w:r>
      <w:r>
        <w:t xml:space="preserve"> </w:t>
      </w:r>
      <w:r>
        <w:t xml:space="preserve">A primeira avaliação de 2025 ocorreu antes do assessoramento e representa dose zero.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Resultados educacionais:</w:t>
      </w:r>
      <w:r>
        <w:t xml:space="preserve"> </w:t>
      </w:r>
      <w:r>
        <w:t xml:space="preserve">Proficiência, adequação, defasagem e participação não integram o índice operacional.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Assessora:</w:t>
      </w:r>
      <w:r>
        <w:t xml:space="preserve"> </w:t>
      </w:r>
      <w:r>
        <w:t xml:space="preserve">Resultados das escolas não avaliam qualidade, produtividade ou efetividade das assessoras.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Participação e composição:</w:t>
      </w:r>
      <w:r>
        <w:t xml:space="preserve"> </w:t>
      </w:r>
      <w:r>
        <w:t xml:space="preserve">Qualquer descrição de desempenho deve ser acompanhada de cobertura e alertas de composição.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Índice operacional:</w:t>
      </w:r>
      <w:r>
        <w:t xml:space="preserve"> </w:t>
      </w:r>
      <w:r>
        <w:t xml:space="preserve">O índice é relativo e parcial; não representa integralmente horas, deslocamentos, emergências ou carga real.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Carteiras:</w:t>
      </w:r>
      <w:r>
        <w:t xml:space="preserve"> </w:t>
      </w:r>
      <w:r>
        <w:t xml:space="preserve">Comparações usam referências agregadas não ordinais e não classificam assessoras como sobrecarregadas ou subutilizadas.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Decisão gerencial:</w:t>
      </w:r>
      <w:r>
        <w:t xml:space="preserve"> </w:t>
      </w:r>
      <w:r>
        <w:t xml:space="preserve">Os produtos quantitativos subsidiam, mas não determinam automaticamente redistribuições.</w:t>
      </w:r>
    </w:p>
    <w:bookmarkEnd w:id="45"/>
    <w:bookmarkStart w:id="46" w:name="decisões-sugeridas-à-coordenação"/>
    <w:p>
      <w:pPr>
        <w:pStyle w:val="Heading1"/>
      </w:pPr>
      <w:r>
        <w:t xml:space="preserve">Decisões sugeridas à coordenação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Homologar os quatro universos</w:t>
      </w:r>
      <w:r>
        <w:t xml:space="preserve"> </w:t>
      </w:r>
      <w:r>
        <w:t xml:space="preserve">como referência institucional.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Adotar o diagnóstico como instrumento de discussão</w:t>
      </w:r>
      <w:r>
        <w:t xml:space="preserve">, não como algoritmo de redistribuição.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Determinar a implantação de registro mínimo das ações de assessoramento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Realizar oficina técnica sobre as carteiras</w:t>
      </w:r>
      <w:r>
        <w:t xml:space="preserve">, com documentação das conclusões.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Manter os resultados educacionais fora da avaliação individual das assessoras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Atualizar o diagnóstico periodicamente</w:t>
      </w:r>
      <w:r>
        <w:t xml:space="preserve">, preservando versões, manifestos e critérios.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Condicionar qualquer avaliação causal futura à disponibilidade de dose e desenho adequado</w:t>
      </w:r>
      <w:r>
        <w:t xml:space="preserve">.</w:t>
      </w:r>
    </w:p>
    <w:bookmarkEnd w:id="46"/>
    <w:bookmarkStart w:id="47" w:name="nota-de-rastreabilidade"/>
    <w:p>
      <w:pPr>
        <w:pStyle w:val="Heading1"/>
      </w:pPr>
      <w:r>
        <w:t xml:space="preserve">Nota de rastreabilidade</w:t>
      </w:r>
    </w:p>
    <w:p>
      <w:pPr>
        <w:pStyle w:val="FirstParagraph"/>
      </w:pPr>
      <w:r>
        <w:t xml:space="preserve">Este documento utiliza exclusivamente produtos do pacote homologado:</w:t>
      </w:r>
    </w:p>
    <w:p>
      <w:pPr>
        <w:pStyle w:val="Compact"/>
        <w:numPr>
          <w:ilvl w:val="0"/>
          <w:numId w:val="1012"/>
        </w:numPr>
      </w:pPr>
      <w:r>
        <w:t xml:space="preserve">pacote: entrega_modulos_15_24_c770cf6_v001;</w:t>
      </w:r>
    </w:p>
    <w:p>
      <w:pPr>
        <w:pStyle w:val="Compact"/>
        <w:numPr>
          <w:ilvl w:val="0"/>
          <w:numId w:val="1012"/>
        </w:numPr>
      </w:pPr>
      <w:r>
        <w:t xml:space="preserve">execução do módulo 25: 20260803_003954;</w:t>
      </w:r>
    </w:p>
    <w:p>
      <w:pPr>
        <w:pStyle w:val="Compact"/>
        <w:numPr>
          <w:ilvl w:val="0"/>
          <w:numId w:val="1012"/>
        </w:numPr>
      </w:pPr>
      <w:r>
        <w:t xml:space="preserve">marco-base de desenvolvimento do módulo 26: 82a1a9c7c85f561db17a7855db58e7862904165e;</w:t>
      </w:r>
    </w:p>
    <w:p>
      <w:pPr>
        <w:pStyle w:val="Compact"/>
        <w:numPr>
          <w:ilvl w:val="0"/>
          <w:numId w:val="1012"/>
        </w:numPr>
      </w:pPr>
      <w:r>
        <w:t xml:space="preserve">validação integrada:</w:t>
      </w:r>
      <w:r>
        <w:t xml:space="preserve"> </w:t>
      </w:r>
      <w:r>
        <w:rPr>
          <w:b/>
          <w:bCs/>
        </w:rPr>
        <w:t xml:space="preserve">135 de 135 testes aprovados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natureza: síntese gerencial derivada, sem recálculo de produtos analíticos.</w:t>
      </w:r>
    </w:p>
    <w:p>
      <w:pPr>
        <w:pStyle w:val="FirstParagraph"/>
      </w:pPr>
      <w:r>
        <w:t xml:space="preserve">O relatório técnico e os anexos permanecem as referências para detalhamento metodológico, tabelas completas e rastreabilidade.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Sumário executivo para a gestão</dc:title>
  <dc:creator>Unidade de Ensino Fundamental — SMED/PMPA</dc:creator>
  <dc:language>pt-BR</dc:language>
  <cp:keywords/>
  <dcterms:created xsi:type="dcterms:W3CDTF">2026-08-04T02:02:27Z</dcterms:created>
  <dcterms:modified xsi:type="dcterms:W3CDTF">2026-08-04T02:02:27Z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3 de agosto de 2026</vt:lpwstr>
  </property>
  <property fmtid="{D5CDD505-2E9C-101B-9397-08002B2CF9AE}" pid="6" name="date-format">
    <vt:lpwstr>D [de] MMMM [de] YYYY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params">
    <vt:lpwstr/>
  </property>
  <property fmtid="{D5CDD505-2E9C-101B-9397-08002B2CF9AE}" pid="14" name="subtitle">
    <vt:lpwstr>Diagnóstico institucional e operacional do assessoramento às escolas — anos iniciais</vt:lpwstr>
  </property>
  <property fmtid="{D5CDD505-2E9C-101B-9397-08002B2CF9AE}" pid="15" name="toc-title">
    <vt:lpwstr>Índice</vt:lpwstr>
  </property>
</Properties>
</file>