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A8FF" w14:textId="77777777" w:rsidR="00E942AF" w:rsidRDefault="00000000" w:rsidP="00252E06">
      <w:pPr>
        <w:rPr>
          <w:b/>
          <w:bCs/>
          <w:sz w:val="36"/>
          <w:szCs w:val="36"/>
        </w:rPr>
      </w:pPr>
      <w:bookmarkStart w:id="0" w:name="_Hlk242894306"/>
      <w:r w:rsidRPr="00252E06">
        <w:rPr>
          <w:b/>
          <w:bCs/>
          <w:sz w:val="36"/>
          <w:szCs w:val="36"/>
        </w:rPr>
        <w:t>3. Indicadores críticos</w:t>
      </w:r>
    </w:p>
    <w:p w14:paraId="5280E845" w14:textId="77777777" w:rsidR="00252E06" w:rsidRPr="00252E06" w:rsidRDefault="00252E06" w:rsidP="00252E06">
      <w:pPr>
        <w:rPr>
          <w:b/>
          <w:bCs/>
          <w:sz w:val="36"/>
          <w:szCs w:val="36"/>
        </w:rPr>
      </w:pPr>
    </w:p>
    <w:p w14:paraId="7D400FC8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3.1 Cumplimiento de cuota</w:t>
      </w:r>
    </w:p>
    <w:p w14:paraId="2C57DB7F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cumplimiento global es 81%, 14 puntos por debajo de la meta (≥ 95%) y 17 puntos por debajo del 98% anterior. Solo e-</w:t>
      </w:r>
      <w:proofErr w:type="spellStart"/>
      <w:r>
        <w:t>commerce</w:t>
      </w:r>
      <w:proofErr w:type="spellEnd"/>
      <w:r>
        <w:t xml:space="preserve"> cumple la meta (105%). La fuerza directa (92%) está 3 puntos por debajo, e </w:t>
      </w:r>
      <w:proofErr w:type="spellStart"/>
      <w:r>
        <w:t>inside</w:t>
      </w:r>
      <w:proofErr w:type="spellEnd"/>
      <w:r>
        <w:t xml:space="preserve"> sales (74%) y distribuidores (68%) están 21 y 27 puntos por debajo. Los dos canales con mayor brecha son </w:t>
      </w:r>
      <w:proofErr w:type="spellStart"/>
      <w:r>
        <w:t>inside</w:t>
      </w:r>
      <w:proofErr w:type="spellEnd"/>
      <w:r>
        <w:t xml:space="preserve"> sales y distribuidores.</w:t>
      </w:r>
    </w:p>
    <w:p w14:paraId="418C6E34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436C9D47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Seguimiento diario del avance de cuota de </w:t>
      </w:r>
      <w:proofErr w:type="spellStart"/>
      <w:r>
        <w:t>inside</w:t>
      </w:r>
      <w:proofErr w:type="spellEnd"/>
      <w:r>
        <w:t xml:space="preserve"> sales y distribuidores, en lugar del seguimiento semanal/mensual actual.</w:t>
      </w:r>
    </w:p>
    <w:p w14:paraId="38DA8536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Desglosar la brecha de distribuidores por distribuidor y país (120 distribuidores, 4 países).</w:t>
      </w:r>
    </w:p>
    <w:p w14:paraId="323528FB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Desglosar la brecha de </w:t>
      </w:r>
      <w:proofErr w:type="spellStart"/>
      <w:r>
        <w:t>inside</w:t>
      </w:r>
      <w:proofErr w:type="spellEnd"/>
      <w:r>
        <w:t xml:space="preserve"> sales por agente (40 agentes) con AGENT_PERF y CALL_LOG.</w:t>
      </w:r>
    </w:p>
    <w:p w14:paraId="26AE1B75" w14:textId="77777777" w:rsidR="00252E06" w:rsidRDefault="00000000" w:rsidP="00252E06">
      <w:pPr>
        <w:pStyle w:val="Prrafodelista"/>
        <w:keepNext/>
        <w:numPr>
          <w:ilvl w:val="0"/>
          <w:numId w:val="2"/>
        </w:numPr>
        <w:spacing w:after="40"/>
        <w:jc w:val="both"/>
      </w:pPr>
      <w:r w:rsidRPr="00252E06">
        <w:t xml:space="preserve">Validar con RR.HH. las cuotas de estos dos canales, porque el caso señala “cuotas desactualizadas” como riesgo de calidad. </w:t>
      </w:r>
    </w:p>
    <w:p w14:paraId="035225AA" w14:textId="77777777" w:rsidR="00252E06" w:rsidRDefault="00252E06" w:rsidP="00252E06">
      <w:pPr>
        <w:pStyle w:val="Prrafodelista"/>
        <w:keepNext/>
        <w:spacing w:after="40"/>
        <w:ind w:left="720"/>
        <w:jc w:val="both"/>
      </w:pPr>
    </w:p>
    <w:p w14:paraId="7C7C78E9" w14:textId="00602403" w:rsidR="00E942AF" w:rsidRPr="00252E06" w:rsidRDefault="00000000" w:rsidP="00252E06">
      <w:pPr>
        <w:keepNext/>
        <w:spacing w:after="40"/>
        <w:jc w:val="both"/>
        <w:rPr>
          <w:sz w:val="24"/>
          <w:szCs w:val="24"/>
        </w:rPr>
      </w:pPr>
      <w:r w:rsidRPr="00252E06">
        <w:rPr>
          <w:b/>
          <w:bCs/>
          <w:sz w:val="28"/>
          <w:szCs w:val="28"/>
        </w:rPr>
        <w:t>3.2 Ticket promedio B2B</w:t>
      </w:r>
    </w:p>
    <w:p w14:paraId="3F0E99C2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ticket B2B es USD 3.600, 10% por debajo de la meta (≥ USD 4.000) y 14% por debajo del valor anterior (USD 4.200). Veinte vendedores concentran el 70% de la caída. Esos mismos vendedores dan 14% de descuento promedio frente a 8% del resto, y venden más accesorios y menos producto principal.</w:t>
      </w:r>
    </w:p>
    <w:p w14:paraId="2E2D8B22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5001C88F" w14:textId="77777777" w:rsidR="00252E06" w:rsidRPr="00252E06" w:rsidRDefault="00252E06" w:rsidP="00252E06">
      <w:pPr>
        <w:pStyle w:val="Prrafodelista"/>
        <w:numPr>
          <w:ilvl w:val="0"/>
          <w:numId w:val="10"/>
        </w:numPr>
        <w:spacing w:after="40"/>
        <w:jc w:val="both"/>
      </w:pPr>
      <w:r w:rsidRPr="00252E06">
        <w:t xml:space="preserve">Revisar los descuentos de esos 20 vendedores y llevarlos hacia la meta (≤ 9%), con un </w:t>
      </w:r>
      <w:proofErr w:type="spellStart"/>
      <w:r w:rsidRPr="00252E06">
        <w:t>workflow</w:t>
      </w:r>
      <w:proofErr w:type="spellEnd"/>
      <w:r w:rsidRPr="00252E06">
        <w:t xml:space="preserve"> de aprobación para los descuentos que superen la política.</w:t>
      </w:r>
    </w:p>
    <w:p w14:paraId="6F780810" w14:textId="77777777" w:rsidR="00252E06" w:rsidRPr="00252E06" w:rsidRDefault="00252E06" w:rsidP="00252E06">
      <w:pPr>
        <w:pStyle w:val="Prrafodelista"/>
        <w:numPr>
          <w:ilvl w:val="0"/>
          <w:numId w:val="10"/>
        </w:numPr>
        <w:spacing w:after="40"/>
        <w:jc w:val="both"/>
      </w:pPr>
      <w:r w:rsidRPr="00252E06">
        <w:t xml:space="preserve">Seguimiento semanal del </w:t>
      </w:r>
      <w:proofErr w:type="spellStart"/>
      <w:r w:rsidRPr="00252E06">
        <w:t>mix</w:t>
      </w:r>
      <w:proofErr w:type="spellEnd"/>
      <w:r w:rsidRPr="00252E06">
        <w:t xml:space="preserve"> producto principal vs. accesorios de esos 20 vendedores, contrastado con el resto.</w:t>
      </w:r>
    </w:p>
    <w:p w14:paraId="6ADA4027" w14:textId="77777777" w:rsidR="00252E06" w:rsidRPr="00252E06" w:rsidRDefault="00252E06" w:rsidP="00252E06">
      <w:pPr>
        <w:pStyle w:val="Prrafodelista"/>
        <w:numPr>
          <w:ilvl w:val="0"/>
          <w:numId w:val="10"/>
        </w:numPr>
        <w:spacing w:after="40"/>
        <w:jc w:val="both"/>
      </w:pPr>
      <w:r w:rsidRPr="00252E06">
        <w:t>Aplicar política de descuentos y venta de valor, enfocada en el producto principal.</w:t>
      </w:r>
    </w:p>
    <w:p w14:paraId="2F8776FD" w14:textId="77777777" w:rsidR="00252E06" w:rsidRDefault="00252E06" w:rsidP="00252E06">
      <w:pPr>
        <w:pStyle w:val="Prrafodelista"/>
        <w:spacing w:after="40"/>
        <w:ind w:left="720"/>
        <w:jc w:val="both"/>
      </w:pPr>
    </w:p>
    <w:p w14:paraId="61F220D6" w14:textId="20E29746" w:rsidR="00252E06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3.3 Tasa de conversión e-</w:t>
      </w:r>
      <w:proofErr w:type="spellStart"/>
      <w:r w:rsidRPr="00252E06">
        <w:rPr>
          <w:b/>
          <w:bCs/>
          <w:sz w:val="28"/>
          <w:szCs w:val="28"/>
        </w:rPr>
        <w:t>commerce</w:t>
      </w:r>
      <w:proofErr w:type="spellEnd"/>
    </w:p>
    <w:p w14:paraId="5E09CD77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La conversión es 1,9%, 1,1 puntos por debajo de la meta (≥ 3,0%) y 1,3 puntos por debajo del 3,2% anterior, aunque las sesiones crecieron 18%. Todas las etapas del </w:t>
      </w:r>
      <w:proofErr w:type="spellStart"/>
      <w:r>
        <w:t>funnel</w:t>
      </w:r>
      <w:proofErr w:type="spellEnd"/>
      <w:r>
        <w:t xml:space="preserve"> empeoraron: añadir al carrito 8,2% (antes 9,5%), </w:t>
      </w:r>
      <w:proofErr w:type="spellStart"/>
      <w:r>
        <w:t>checkout</w:t>
      </w:r>
      <w:proofErr w:type="spellEnd"/>
      <w:r>
        <w:t xml:space="preserve"> iniciado 4,1% (antes 5,8%) y compra 1,9% (antes 3,2%). La mayor caída está en </w:t>
      </w:r>
      <w:proofErr w:type="spellStart"/>
      <w:r>
        <w:t>checkout</w:t>
      </w:r>
      <w:proofErr w:type="spellEnd"/>
      <w:r>
        <w:t xml:space="preserve"> (−1,7 puntos). Si los porcentajes se miden sobre sesiones, solo 50% de quienes agregan al carrito inician </w:t>
      </w:r>
      <w:proofErr w:type="spellStart"/>
      <w:r>
        <w:t>checkout</w:t>
      </w:r>
      <w:proofErr w:type="spellEnd"/>
      <w:r>
        <w:t xml:space="preserve"> (antes 61%) y 46% de quienes inician </w:t>
      </w:r>
      <w:proofErr w:type="spellStart"/>
      <w:r>
        <w:t>checkout</w:t>
      </w:r>
      <w:proofErr w:type="spellEnd"/>
      <w:r>
        <w:t xml:space="preserve"> compran (antes 55%).</w:t>
      </w:r>
    </w:p>
    <w:p w14:paraId="391C24D9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07BE71C7" w14:textId="212C76AC" w:rsidR="00E942AF" w:rsidRDefault="004A242B">
      <w:pPr>
        <w:pStyle w:val="Prrafodelista"/>
        <w:numPr>
          <w:ilvl w:val="0"/>
          <w:numId w:val="2"/>
        </w:numPr>
        <w:spacing w:after="40"/>
        <w:jc w:val="both"/>
      </w:pPr>
      <w:r w:rsidRPr="004A242B">
        <w:t xml:space="preserve">Seguimiento diario del </w:t>
      </w:r>
      <w:proofErr w:type="spellStart"/>
      <w:r w:rsidRPr="004A242B">
        <w:t>funnel</w:t>
      </w:r>
      <w:proofErr w:type="spellEnd"/>
      <w:r w:rsidRPr="004A242B">
        <w:t xml:space="preserve"> por etapa, con foco en las etapas de </w:t>
      </w:r>
      <w:proofErr w:type="spellStart"/>
      <w:r w:rsidRPr="004A242B">
        <w:t>checkout</w:t>
      </w:r>
      <w:proofErr w:type="spellEnd"/>
      <w:r w:rsidRPr="004A242B">
        <w:t xml:space="preserve"> iniciado y compra completada, que son las que más cayeron</w:t>
      </w:r>
      <w:r w:rsidR="00000000">
        <w:t>.</w:t>
      </w:r>
    </w:p>
    <w:p w14:paraId="301F83B6" w14:textId="720023E7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>
        <w:t>Revisar</w:t>
      </w:r>
      <w:r w:rsidR="00000000">
        <w:t xml:space="preserve"> los medios de pago y los tiempos de carga del </w:t>
      </w:r>
      <w:proofErr w:type="spellStart"/>
      <w:r w:rsidR="00000000">
        <w:t>checkout</w:t>
      </w:r>
      <w:proofErr w:type="spellEnd"/>
      <w:r w:rsidR="00000000">
        <w:t>.</w:t>
      </w:r>
    </w:p>
    <w:p w14:paraId="440C9B3C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Verificar que la exclusión de </w:t>
      </w:r>
      <w:proofErr w:type="spellStart"/>
      <w:r>
        <w:t>bots</w:t>
      </w:r>
      <w:proofErr w:type="spellEnd"/>
      <w:r>
        <w:t xml:space="preserve"> y sesiones duplicadas esté aplicada, porque el caso lo señala como riesgo de calidad en este dato y el tráfico subió.</w:t>
      </w:r>
    </w:p>
    <w:p w14:paraId="496E9B6C" w14:textId="77777777" w:rsidR="00252E06" w:rsidRDefault="00252E06" w:rsidP="00252E06">
      <w:pPr>
        <w:pStyle w:val="Prrafodelista"/>
        <w:spacing w:after="40"/>
        <w:ind w:left="720"/>
        <w:jc w:val="both"/>
      </w:pPr>
    </w:p>
    <w:p w14:paraId="32AC1687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3.4 Ciclo de venta B2B</w:t>
      </w:r>
    </w:p>
    <w:p w14:paraId="1CFF4B5D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ciclo es 68 días, 18 días sobre la meta (≤ 50) y 23 días sobre los 45 anteriores. Todas las etapas se alargaron: prospección 12 (+4), demo/valor 18 (+6), propuesta 22 (+7) y negociación 16 (+6). Propuesta es la etapa que más días suma.</w:t>
      </w:r>
    </w:p>
    <w:p w14:paraId="08FAF931" w14:textId="77777777" w:rsidR="00E942AF" w:rsidRDefault="00000000">
      <w:pPr>
        <w:keepNext/>
        <w:spacing w:after="40"/>
      </w:pPr>
      <w:r>
        <w:rPr>
          <w:b/>
          <w:bCs/>
        </w:rPr>
        <w:lastRenderedPageBreak/>
        <w:t>Acción:</w:t>
      </w:r>
    </w:p>
    <w:p w14:paraId="1F368E71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Medir en APPROVAL_LOG de CPQ cuánto tardan las aprobaciones en propuesta y negociación.</w:t>
      </w:r>
    </w:p>
    <w:p w14:paraId="0B033D07" w14:textId="6E6BCAA1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>
        <w:t>D</w:t>
      </w:r>
      <w:r w:rsidR="00000000">
        <w:t>elegar y automatizar aprobaciones.</w:t>
      </w:r>
    </w:p>
    <w:p w14:paraId="1648DCF5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Seguimiento semanal de días por etapa, tomando como referencia los valores anteriores (suman 45 días).</w:t>
      </w:r>
    </w:p>
    <w:p w14:paraId="04516B50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 xml:space="preserve">3.5 Win </w:t>
      </w:r>
      <w:proofErr w:type="spellStart"/>
      <w:r w:rsidRPr="00252E06">
        <w:rPr>
          <w:b/>
          <w:bCs/>
          <w:sz w:val="28"/>
          <w:szCs w:val="28"/>
        </w:rPr>
        <w:t>rate</w:t>
      </w:r>
      <w:proofErr w:type="spellEnd"/>
      <w:r w:rsidRPr="00252E06">
        <w:rPr>
          <w:b/>
          <w:bCs/>
          <w:sz w:val="28"/>
          <w:szCs w:val="28"/>
        </w:rPr>
        <w:t xml:space="preserve"> de oportunidades</w:t>
      </w:r>
    </w:p>
    <w:p w14:paraId="73C6400D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El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es 26%, 9 puntos por debajo de la meta (≥ 35%) y 12 puntos por debajo del 38% anterior. Con demo técnica es 42% y sin demo 18%. Con más de 3 </w:t>
      </w:r>
      <w:proofErr w:type="spellStart"/>
      <w:r>
        <w:t>touchpoints</w:t>
      </w:r>
      <w:proofErr w:type="spellEnd"/>
      <w:r>
        <w:t xml:space="preserve"> es 39% y con 1 </w:t>
      </w:r>
      <w:proofErr w:type="spellStart"/>
      <w:r>
        <w:t>touchpoint</w:t>
      </w:r>
      <w:proofErr w:type="spellEnd"/>
      <w:r>
        <w:t xml:space="preserve"> 12%. Es una asociación observada; el caso no demuestra causalidad.</w:t>
      </w:r>
    </w:p>
    <w:p w14:paraId="17941C60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281146D9" w14:textId="090EEB67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>
        <w:t>C</w:t>
      </w:r>
      <w:r w:rsidR="00000000">
        <w:t>alificación obligatoria de oportunidades.</w:t>
      </w:r>
    </w:p>
    <w:p w14:paraId="39D7C09C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Incluir la demo técnica como paso obligatorio antes de avanzar de etapa, por la diferencia de 24 puntos.</w:t>
      </w:r>
    </w:p>
    <w:p w14:paraId="2504E8FB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Seguimiento semanal de las oportunidades abiertas con 1 </w:t>
      </w:r>
      <w:proofErr w:type="spellStart"/>
      <w:r>
        <w:t>touchpoint</w:t>
      </w:r>
      <w:proofErr w:type="spellEnd"/>
      <w:r>
        <w:t xml:space="preserve">, la condición con menor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(12%).</w:t>
      </w:r>
    </w:p>
    <w:p w14:paraId="486AA386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Medir qué porcentaje de oportunidades abiertas no tiene demo, dato que el caso no entrega.</w:t>
      </w:r>
    </w:p>
    <w:p w14:paraId="3E102A51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 xml:space="preserve">3.6 Pipeline </w:t>
      </w:r>
      <w:proofErr w:type="spellStart"/>
      <w:r w:rsidRPr="00252E06">
        <w:rPr>
          <w:b/>
          <w:bCs/>
          <w:sz w:val="28"/>
          <w:szCs w:val="28"/>
        </w:rPr>
        <w:t>coverage</w:t>
      </w:r>
      <w:proofErr w:type="spellEnd"/>
    </w:p>
    <w:p w14:paraId="250AAC4E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El </w:t>
      </w:r>
      <w:proofErr w:type="spellStart"/>
      <w:r>
        <w:t>coverage</w:t>
      </w:r>
      <w:proofErr w:type="spellEnd"/>
      <w:r>
        <w:t xml:space="preserve"> del CRM es 4,2x, pero con probabilidad real por etapa baja a 2,1x, 0,9x por debajo de la meta (≥ 3,0x). El 40% del pipeline está en etapas tempranas sin actividad en 30 días y el 25% son oportunidades “</w:t>
      </w:r>
      <w:proofErr w:type="spellStart"/>
      <w:r>
        <w:t>zombie</w:t>
      </w:r>
      <w:proofErr w:type="spellEnd"/>
      <w:r>
        <w:t>” con más de 180 días sin movimiento. El caso no indica si ambos grupos se superponen.</w:t>
      </w:r>
    </w:p>
    <w:p w14:paraId="2580EC2D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5DF14AE5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Depurar las oportunidades con más de 180 días sin movimiento.</w:t>
      </w:r>
    </w:p>
    <w:p w14:paraId="0CD31726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Revisar las oportunidades tempranas sin actividad en 30 días.</w:t>
      </w:r>
    </w:p>
    <w:p w14:paraId="192BCC1F" w14:textId="2F8D2237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 w:rsidRPr="00252E06">
        <w:t xml:space="preserve">Hacer higiene del pipeline y reportar el </w:t>
      </w:r>
      <w:proofErr w:type="spellStart"/>
      <w:r w:rsidRPr="00252E06">
        <w:t>coverage</w:t>
      </w:r>
      <w:proofErr w:type="spellEnd"/>
      <w:r w:rsidRPr="00252E06">
        <w:t xml:space="preserve"> ajustado (2,1x) como cifra oficial, en lugar del 4,2x del CRM</w:t>
      </w:r>
      <w:r w:rsidR="00000000">
        <w:t>.</w:t>
      </w:r>
    </w:p>
    <w:p w14:paraId="40428765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Seguimiento semanal del </w:t>
      </w:r>
      <w:proofErr w:type="spellStart"/>
      <w:r>
        <w:t>coverage</w:t>
      </w:r>
      <w:proofErr w:type="spellEnd"/>
      <w:r>
        <w:t xml:space="preserve"> ajustado.</w:t>
      </w:r>
    </w:p>
    <w:p w14:paraId="53510821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3.7 Churn de clientes B2B</w:t>
      </w:r>
    </w:p>
    <w:p w14:paraId="4BAE2DC8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El </w:t>
      </w:r>
      <w:proofErr w:type="spellStart"/>
      <w:r>
        <w:t>churn</w:t>
      </w:r>
      <w:proofErr w:type="spellEnd"/>
      <w:r>
        <w:t xml:space="preserve"> es 15%, 7 puntos sobre la meta (≤ 8%) y 7 puntos sobre el 8% anterior. Clientes con contrato de servicio: 4%. Sin contrato: 22%. Con NPS &lt; 30: 31%. Con NPS &gt; 60: 5%. Los segmentos sin contrato y con NPS bajo concentran el </w:t>
      </w:r>
      <w:proofErr w:type="spellStart"/>
      <w:r>
        <w:t>churn</w:t>
      </w:r>
      <w:proofErr w:type="spellEnd"/>
      <w:r>
        <w:t>.</w:t>
      </w:r>
    </w:p>
    <w:p w14:paraId="741F22E0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6989E7AE" w14:textId="37667090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 w:rsidRPr="00252E06">
        <w:t>Aplicar un modelo de cobertura por valor, priorizando a los clientes sin contrato y con NPS &lt; 30.</w:t>
      </w:r>
    </w:p>
    <w:p w14:paraId="6A89E53C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Evaluar ofrecer contrato de servicio a clientes sin contrato, dada la diferencia de 4% vs 22%.</w:t>
      </w:r>
    </w:p>
    <w:p w14:paraId="472C25A2" w14:textId="45B54299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 w:rsidRPr="00252E06">
        <w:t>Validar que “sin contrato” no incluya contratos no cargados a tiempo, riesgo de calidad que el caso señala para los datos de contratos</w:t>
      </w:r>
      <w:r w:rsidR="00000000">
        <w:t>.</w:t>
      </w:r>
    </w:p>
    <w:p w14:paraId="03AC94D7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 xml:space="preserve">Dado que el </w:t>
      </w:r>
      <w:proofErr w:type="spellStart"/>
      <w:r>
        <w:t>churn</w:t>
      </w:r>
      <w:proofErr w:type="spellEnd"/>
      <w:r>
        <w:t xml:space="preserve"> se define como 12 meses sin compra, usar la fecha de última compra como alerta anticipada.</w:t>
      </w:r>
    </w:p>
    <w:p w14:paraId="0ED6BF8B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3.8 Margen bruto por venta</w:t>
      </w:r>
    </w:p>
    <w:p w14:paraId="25C68493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margen es 23%, 3 puntos bajo la meta (≥ 26%) y 5 bajo el 28% anterior. El producto A está estable en 32%. El B cayó 6 puntos a 18% y el C (accesorios) cayó 4 puntos a 12%. La caída viene de B y C.</w:t>
      </w:r>
    </w:p>
    <w:p w14:paraId="4BD8CCB3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5731CBF0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Priorizar el análisis de los productos B y C.</w:t>
      </w:r>
    </w:p>
    <w:p w14:paraId="2C699905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lastRenderedPageBreak/>
        <w:t>Cruzar el margen de B y C con los descuentos otorgados en CPQ, dado que el descuento promedio subió de 8% a 14%.</w:t>
      </w:r>
    </w:p>
    <w:p w14:paraId="6A201EB2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Aplicar las decisiones de la sección 4: renegociar y comisionar por margen.</w:t>
      </w:r>
    </w:p>
    <w:p w14:paraId="6D46703F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Seguimiento mensual del margen por producto.</w:t>
      </w:r>
    </w:p>
    <w:p w14:paraId="424D1C12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3.9 Descuentos promedio</w:t>
      </w:r>
    </w:p>
    <w:p w14:paraId="1C8CCC43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descuento promedio es 14%, 5 puntos sobre la meta (≤ 9%) y 6 sobre el 8% anterior. Los aprobados por política promedian 8,5% (dentro de la meta) y los de fuera de política 18%, el doble de la meta. El 35% de los descuentos fuera de política fueron aprobados por 3 gerentes regionales.</w:t>
      </w:r>
    </w:p>
    <w:p w14:paraId="6084DB76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63E435C0" w14:textId="77777777" w:rsidR="00E942AF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t>Auditar en APPROVAL_LOG las aprobaciones de esos 3 gerentes regionales.</w:t>
      </w:r>
    </w:p>
    <w:p w14:paraId="44EEF891" w14:textId="756457E1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 w:rsidRPr="00252E06">
        <w:t xml:space="preserve">Implementar un </w:t>
      </w:r>
      <w:proofErr w:type="spellStart"/>
      <w:r w:rsidRPr="00252E06">
        <w:t>workflow</w:t>
      </w:r>
      <w:proofErr w:type="spellEnd"/>
      <w:r w:rsidRPr="00252E06">
        <w:t xml:space="preserve"> de aprobación para todo descuento fuera de política</w:t>
      </w:r>
      <w:r w:rsidR="00000000">
        <w:t>.</w:t>
      </w:r>
    </w:p>
    <w:p w14:paraId="1EC2A925" w14:textId="59194FC2" w:rsidR="00E942AF" w:rsidRDefault="00252E06">
      <w:pPr>
        <w:pStyle w:val="Prrafodelista"/>
        <w:numPr>
          <w:ilvl w:val="0"/>
          <w:numId w:val="2"/>
        </w:numPr>
        <w:spacing w:after="40"/>
        <w:jc w:val="both"/>
      </w:pPr>
      <w:r w:rsidRPr="00252E06">
        <w:t>Reporte semanal de descuentos fuera de política por aprobador y por vendedor, cruzado con los 20 vendedores de mayor caída en el ticket B2B</w:t>
      </w:r>
      <w:r w:rsidR="00000000">
        <w:t>.</w:t>
      </w:r>
    </w:p>
    <w:p w14:paraId="2CDFBB72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3.10 Productividad por vendedor</w:t>
      </w:r>
    </w:p>
    <w:p w14:paraId="5323A10E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La productividad es USD 1,4M, USD 0,2M bajo la meta (≥ 1,6M) y USD 0,4M bajo el 1,8M anterior. El tiempo del vendedor se reparte así: 35% administrativo, 25% reuniones internas, 20% prospección y 20% clientes existentes. El 60% no es tiempo comercial directo.</w:t>
      </w:r>
    </w:p>
    <w:p w14:paraId="18E666DD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60438E7A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Dar soporte comercial a los vendedores y automatizar cotizaciones, reportes y registro en CRM (35% del tiempo).</w:t>
      </w:r>
    </w:p>
    <w:p w14:paraId="1ABDCDF7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Revisar la agenda de reuniones internas (25%).</w:t>
      </w:r>
    </w:p>
    <w:p w14:paraId="35983E8A" w14:textId="59721A8B" w:rsidR="00E942AF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Medir mensualmente el porcentaje de tiempo comercial por vendedor</w:t>
      </w:r>
      <w:r w:rsidR="00000000">
        <w:t>.</w:t>
      </w:r>
    </w:p>
    <w:p w14:paraId="2CA3FFBD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3.11 Costo de adquisición de cliente (CAC)</w:t>
      </w:r>
    </w:p>
    <w:p w14:paraId="7278C326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CAC es USD 510, USD 130 sobre la meta (≤ 380) y USD 190 sobre los 320 anteriores (+59%). Por canal: referidos 180, e-</w:t>
      </w:r>
      <w:proofErr w:type="spellStart"/>
      <w:r>
        <w:t>commerce</w:t>
      </w:r>
      <w:proofErr w:type="spellEnd"/>
      <w:r>
        <w:t xml:space="preserve"> orgánico 240, </w:t>
      </w:r>
      <w:proofErr w:type="spellStart"/>
      <w:r>
        <w:t>inside</w:t>
      </w:r>
      <w:proofErr w:type="spellEnd"/>
      <w:r>
        <w:t xml:space="preserve"> sales 420,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620 y fuerza directa 780. Tres canales superan la meta, y la fuerza directa cuesta 4,3 veces más que referidos.</w:t>
      </w:r>
    </w:p>
    <w:p w14:paraId="1DE382F1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569987A9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Reasignar inversión hacia referidos (USD 180) y e-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commerce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 orgánico (USD 240), los canales con menor CAC.</w:t>
      </w:r>
    </w:p>
    <w:p w14:paraId="5AF64891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Revisar el presupuesto de 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ads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 (620) y los componentes del CAC de la fuerza directa (780), que incluye comisiones.</w:t>
      </w:r>
    </w:p>
    <w:p w14:paraId="04B5EC00" w14:textId="226845F9" w:rsidR="00E942AF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Reportar el CAC por canal mensualmente en lugar de trimestralmente, dado el aumento de 59%.</w:t>
      </w:r>
    </w:p>
    <w:p w14:paraId="522B72D9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3.12 LTV / CAC</w:t>
      </w:r>
    </w:p>
    <w:p w14:paraId="5BA2C2BE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El LTV/CAC es 2,1x, 0,9x bajo la meta (≥ 3,0x) y 1,7x bajo el 3,8x anterior. Por canal: referidos 5,2x, e-</w:t>
      </w:r>
      <w:proofErr w:type="spellStart"/>
      <w:r>
        <w:t>commerce</w:t>
      </w:r>
      <w:proofErr w:type="spellEnd"/>
      <w:r>
        <w:t xml:space="preserve"> 3,1x y fuerza directa 1,4x, el único calificado por el caso como destructor de valor. Es el canal con el CAC más alto (USD 780).</w:t>
      </w:r>
    </w:p>
    <w:p w14:paraId="0E15D21C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64161109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Rediseñar la compensación de la fuerza directa, el canal con LTV/CAC de 1,4x.</w:t>
      </w:r>
    </w:p>
    <w:p w14:paraId="3D986F05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Priorizar la inversión en referidos.</w:t>
      </w:r>
    </w:p>
    <w:p w14:paraId="1BE7EA1C" w14:textId="77777777" w:rsidR="00252E06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Calcular el LTV/CAC de 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 sales y 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2E06">
        <w:rPr>
          <w:rFonts w:ascii="Times New Roman" w:eastAsia="Times New Roman" w:hAnsi="Times New Roman" w:cs="Times New Roman"/>
          <w:sz w:val="24"/>
          <w:szCs w:val="24"/>
        </w:rPr>
        <w:t>ads</w:t>
      </w:r>
      <w:proofErr w:type="spellEnd"/>
      <w:r w:rsidRPr="00252E06">
        <w:rPr>
          <w:rFonts w:ascii="Times New Roman" w:eastAsia="Times New Roman" w:hAnsi="Times New Roman" w:cs="Times New Roman"/>
          <w:sz w:val="24"/>
          <w:szCs w:val="24"/>
        </w:rPr>
        <w:t>, canales que el caso no desglosa.</w:t>
      </w:r>
    </w:p>
    <w:p w14:paraId="77AB3DD2" w14:textId="6140FFC1" w:rsidR="00E942AF" w:rsidRPr="00252E06" w:rsidRDefault="00252E06" w:rsidP="00252E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2E06">
        <w:rPr>
          <w:rFonts w:ascii="Times New Roman" w:eastAsia="Times New Roman" w:hAnsi="Times New Roman" w:cs="Times New Roman"/>
          <w:sz w:val="24"/>
          <w:szCs w:val="24"/>
        </w:rPr>
        <w:t>Seguimiento trimestral por canal.</w:t>
      </w:r>
    </w:p>
    <w:p w14:paraId="7F6F9EF1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lastRenderedPageBreak/>
        <w:t xml:space="preserve">3.13 </w:t>
      </w:r>
      <w:proofErr w:type="spellStart"/>
      <w:r w:rsidRPr="00252E06">
        <w:rPr>
          <w:b/>
          <w:bCs/>
          <w:sz w:val="28"/>
          <w:szCs w:val="28"/>
        </w:rPr>
        <w:t>Forecast</w:t>
      </w:r>
      <w:proofErr w:type="spellEnd"/>
      <w:r w:rsidRPr="00252E06">
        <w:rPr>
          <w:b/>
          <w:bCs/>
          <w:sz w:val="28"/>
          <w:szCs w:val="28"/>
        </w:rPr>
        <w:t xml:space="preserve"> </w:t>
      </w:r>
      <w:proofErr w:type="spellStart"/>
      <w:r w:rsidRPr="00252E06">
        <w:rPr>
          <w:b/>
          <w:bCs/>
          <w:sz w:val="28"/>
          <w:szCs w:val="28"/>
        </w:rPr>
        <w:t>accuracy</w:t>
      </w:r>
      <w:proofErr w:type="spellEnd"/>
    </w:p>
    <w:p w14:paraId="1C5F2E78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La exactitud es 72%, 18 puntos bajo la meta (≥ 90%). El error es 28% en el </w:t>
      </w:r>
      <w:proofErr w:type="spellStart"/>
      <w:r>
        <w:t>forecast</w:t>
      </w:r>
      <w:proofErr w:type="spellEnd"/>
      <w:r>
        <w:t xml:space="preserve"> de vendedores, 18% en el de gerentes y 22% en el del CCO. Ningún nivel alcanza la meta, y el de gerentes tiene el menor error.</w:t>
      </w:r>
    </w:p>
    <w:p w14:paraId="0A867602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40EAFCFC" w14:textId="77777777" w:rsidR="00252E06" w:rsidRPr="00252E06" w:rsidRDefault="00252E06" w:rsidP="00252E06">
      <w:pPr>
        <w:pStyle w:val="Prrafodelista"/>
        <w:numPr>
          <w:ilvl w:val="0"/>
          <w:numId w:val="6"/>
        </w:numPr>
        <w:spacing w:after="40"/>
        <w:jc w:val="both"/>
      </w:pPr>
      <w:r w:rsidRPr="00252E06">
        <w:t xml:space="preserve">Depurar las etapas del CRM y construir un modelo estadístico de </w:t>
      </w:r>
      <w:proofErr w:type="spellStart"/>
      <w:r w:rsidRPr="00252E06">
        <w:t>forecast</w:t>
      </w:r>
      <w:proofErr w:type="spellEnd"/>
      <w:r w:rsidRPr="00252E06">
        <w:t xml:space="preserve"> basado en la probabilidad real por etapa.</w:t>
      </w:r>
    </w:p>
    <w:p w14:paraId="11F81635" w14:textId="77777777" w:rsidR="00252E06" w:rsidRPr="00252E06" w:rsidRDefault="00252E06" w:rsidP="00252E06">
      <w:pPr>
        <w:pStyle w:val="Prrafodelista"/>
        <w:numPr>
          <w:ilvl w:val="0"/>
          <w:numId w:val="6"/>
        </w:numPr>
        <w:spacing w:after="40"/>
        <w:jc w:val="both"/>
      </w:pPr>
      <w:r w:rsidRPr="00252E06">
        <w:t xml:space="preserve">Comparar cada mes el modelo estadístico contra el </w:t>
      </w:r>
      <w:proofErr w:type="spellStart"/>
      <w:r w:rsidRPr="00252E06">
        <w:t>forecast</w:t>
      </w:r>
      <w:proofErr w:type="spellEnd"/>
      <w:r w:rsidRPr="00252E06">
        <w:t xml:space="preserve"> de gerentes.</w:t>
      </w:r>
    </w:p>
    <w:p w14:paraId="7578ADBE" w14:textId="77777777" w:rsidR="00252E06" w:rsidRPr="00252E06" w:rsidRDefault="00252E06" w:rsidP="00252E06">
      <w:pPr>
        <w:pStyle w:val="Prrafodelista"/>
        <w:numPr>
          <w:ilvl w:val="0"/>
          <w:numId w:val="6"/>
        </w:numPr>
        <w:spacing w:after="40"/>
        <w:jc w:val="both"/>
      </w:pPr>
      <w:r w:rsidRPr="00252E06">
        <w:t>Medir el error de cada nivel contra el real facturado, según la regla de negocio.</w:t>
      </w:r>
    </w:p>
    <w:p w14:paraId="39C36D4C" w14:textId="77777777" w:rsidR="00252E06" w:rsidRDefault="00252E06" w:rsidP="00252E06">
      <w:pPr>
        <w:pStyle w:val="Prrafodelista"/>
        <w:spacing w:after="40"/>
        <w:ind w:left="720"/>
        <w:jc w:val="both"/>
      </w:pPr>
    </w:p>
    <w:p w14:paraId="7FF531EF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>3.14 NPS / CSAT</w:t>
      </w:r>
    </w:p>
    <w:p w14:paraId="4449FDD8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 xml:space="preserve">El NPS es 38, 12 puntos bajo la meta (≥ 50) y 14 bajo el 52 anterior. Por momento de contacto: </w:t>
      </w:r>
      <w:proofErr w:type="spellStart"/>
      <w:r>
        <w:t>post-venta</w:t>
      </w:r>
      <w:proofErr w:type="spellEnd"/>
      <w:r>
        <w:t xml:space="preserve"> 45, </w:t>
      </w:r>
      <w:proofErr w:type="spellStart"/>
      <w:r>
        <w:t>post-entrega</w:t>
      </w:r>
      <w:proofErr w:type="spellEnd"/>
      <w:r>
        <w:t xml:space="preserve"> 31 y </w:t>
      </w:r>
      <w:proofErr w:type="spellStart"/>
      <w:r>
        <w:t>post-soporte</w:t>
      </w:r>
      <w:proofErr w:type="spellEnd"/>
      <w:r>
        <w:t xml:space="preserve"> 22. Ninguno alcanza la meta, y </w:t>
      </w:r>
      <w:proofErr w:type="spellStart"/>
      <w:r>
        <w:t>post-soporte</w:t>
      </w:r>
      <w:proofErr w:type="spellEnd"/>
      <w:r>
        <w:t xml:space="preserve"> es el más bajo (28 puntos bajo la meta).</w:t>
      </w:r>
    </w:p>
    <w:p w14:paraId="659C0EB9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7F6B30E1" w14:textId="77777777" w:rsidR="00252E06" w:rsidRPr="00252E06" w:rsidRDefault="00252E06" w:rsidP="00252E06">
      <w:pPr>
        <w:pStyle w:val="Prrafodelista"/>
        <w:numPr>
          <w:ilvl w:val="0"/>
          <w:numId w:val="7"/>
        </w:numPr>
        <w:spacing w:after="40"/>
        <w:jc w:val="both"/>
      </w:pPr>
      <w:r w:rsidRPr="00252E06">
        <w:t xml:space="preserve">Mejorar el SLA </w:t>
      </w:r>
      <w:proofErr w:type="spellStart"/>
      <w:r w:rsidRPr="00252E06">
        <w:t>post-venta</w:t>
      </w:r>
      <w:proofErr w:type="spellEnd"/>
      <w:r w:rsidRPr="00252E06">
        <w:t>, empezando por soporte y entrega, los momentos con menor NPS.</w:t>
      </w:r>
    </w:p>
    <w:p w14:paraId="4E3F144F" w14:textId="77777777" w:rsidR="00252E06" w:rsidRPr="00252E06" w:rsidRDefault="00252E06" w:rsidP="00252E06">
      <w:pPr>
        <w:pStyle w:val="Prrafodelista"/>
        <w:numPr>
          <w:ilvl w:val="0"/>
          <w:numId w:val="7"/>
        </w:numPr>
        <w:spacing w:after="40"/>
        <w:jc w:val="both"/>
      </w:pPr>
      <w:r w:rsidRPr="00252E06">
        <w:t xml:space="preserve">Seguimiento de los tickets de soporte en el </w:t>
      </w:r>
      <w:proofErr w:type="spellStart"/>
      <w:r w:rsidRPr="00252E06">
        <w:t>dashboard</w:t>
      </w:r>
      <w:proofErr w:type="spellEnd"/>
      <w:r w:rsidRPr="00252E06">
        <w:t xml:space="preserve"> táctico.</w:t>
      </w:r>
    </w:p>
    <w:p w14:paraId="64FAFC2E" w14:textId="77777777" w:rsidR="00252E06" w:rsidRPr="00252E06" w:rsidRDefault="00252E06" w:rsidP="00252E06">
      <w:pPr>
        <w:pStyle w:val="Prrafodelista"/>
        <w:numPr>
          <w:ilvl w:val="0"/>
          <w:numId w:val="7"/>
        </w:numPr>
        <w:spacing w:after="40"/>
        <w:jc w:val="both"/>
      </w:pPr>
      <w:r w:rsidRPr="00252E06">
        <w:t xml:space="preserve">Alertar a clientes con NPS &lt; 30, dado su </w:t>
      </w:r>
      <w:proofErr w:type="spellStart"/>
      <w:r w:rsidRPr="00252E06">
        <w:t>churn</w:t>
      </w:r>
      <w:proofErr w:type="spellEnd"/>
      <w:r w:rsidRPr="00252E06">
        <w:t xml:space="preserve"> de 31%.</w:t>
      </w:r>
    </w:p>
    <w:p w14:paraId="0BA9569E" w14:textId="77777777" w:rsidR="00252E06" w:rsidRPr="00252E06" w:rsidRDefault="00252E06" w:rsidP="00252E06">
      <w:pPr>
        <w:pStyle w:val="Prrafodelista"/>
        <w:numPr>
          <w:ilvl w:val="0"/>
          <w:numId w:val="7"/>
        </w:numPr>
        <w:spacing w:after="40"/>
        <w:jc w:val="both"/>
      </w:pPr>
      <w:r w:rsidRPr="00252E06">
        <w:t>Validar la tasa de respuesta de las encuestas, riesgo de calidad que el caso señala para esta fuente.</w:t>
      </w:r>
    </w:p>
    <w:p w14:paraId="029B97AB" w14:textId="77777777" w:rsidR="00252E06" w:rsidRDefault="00252E06" w:rsidP="00252E06">
      <w:pPr>
        <w:pStyle w:val="Prrafodelista"/>
        <w:spacing w:after="40"/>
        <w:ind w:left="720"/>
        <w:jc w:val="both"/>
      </w:pPr>
    </w:p>
    <w:p w14:paraId="26FDFE59" w14:textId="77777777" w:rsidR="00E942AF" w:rsidRPr="00252E06" w:rsidRDefault="00000000" w:rsidP="00252E06">
      <w:pPr>
        <w:rPr>
          <w:b/>
          <w:bCs/>
          <w:sz w:val="28"/>
          <w:szCs w:val="28"/>
        </w:rPr>
      </w:pPr>
      <w:r w:rsidRPr="00252E06">
        <w:rPr>
          <w:b/>
          <w:bCs/>
          <w:sz w:val="28"/>
          <w:szCs w:val="28"/>
        </w:rPr>
        <w:t xml:space="preserve">3.15 Tasa de </w:t>
      </w:r>
      <w:proofErr w:type="spellStart"/>
      <w:r w:rsidRPr="00252E06">
        <w:rPr>
          <w:b/>
          <w:bCs/>
          <w:sz w:val="28"/>
          <w:szCs w:val="28"/>
        </w:rPr>
        <w:t>cross-sell</w:t>
      </w:r>
      <w:proofErr w:type="spellEnd"/>
      <w:r w:rsidRPr="00252E06">
        <w:rPr>
          <w:b/>
          <w:bCs/>
          <w:sz w:val="28"/>
          <w:szCs w:val="28"/>
        </w:rPr>
        <w:t xml:space="preserve"> / up-</w:t>
      </w:r>
      <w:proofErr w:type="spellStart"/>
      <w:r w:rsidRPr="00252E06">
        <w:rPr>
          <w:b/>
          <w:bCs/>
          <w:sz w:val="28"/>
          <w:szCs w:val="28"/>
        </w:rPr>
        <w:t>sell</w:t>
      </w:r>
      <w:proofErr w:type="spellEnd"/>
    </w:p>
    <w:p w14:paraId="7556C4F4" w14:textId="77777777" w:rsidR="00E942AF" w:rsidRDefault="00000000">
      <w:pPr>
        <w:spacing w:after="80"/>
        <w:jc w:val="both"/>
      </w:pPr>
      <w:r>
        <w:rPr>
          <w:b/>
          <w:bCs/>
        </w:rPr>
        <w:t xml:space="preserve">Lectura: </w:t>
      </w:r>
      <w:r>
        <w:t>La tasa es 22%, 13 puntos bajo la meta (≥ 35%). Con ejecutivo dedicado es 38% (sobre la meta) y sin ejecutivo 12%.</w:t>
      </w:r>
    </w:p>
    <w:p w14:paraId="1CCEC140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p w14:paraId="46A7D70D" w14:textId="77777777" w:rsidR="00252E06" w:rsidRPr="00252E06" w:rsidRDefault="00252E06" w:rsidP="00252E06">
      <w:pPr>
        <w:numPr>
          <w:ilvl w:val="0"/>
          <w:numId w:val="8"/>
        </w:numPr>
        <w:spacing w:after="40"/>
        <w:jc w:val="both"/>
      </w:pPr>
      <w:r w:rsidRPr="00252E06">
        <w:t>Identificar y cuantificar los clientes sin ejecutivo, dato que el caso no entrega.</w:t>
      </w:r>
    </w:p>
    <w:p w14:paraId="2FF1F533" w14:textId="77777777" w:rsidR="00252E06" w:rsidRPr="00252E06" w:rsidRDefault="00252E06" w:rsidP="00252E06">
      <w:pPr>
        <w:numPr>
          <w:ilvl w:val="0"/>
          <w:numId w:val="8"/>
        </w:numPr>
        <w:spacing w:after="40"/>
        <w:jc w:val="both"/>
      </w:pPr>
      <w:r w:rsidRPr="00252E06">
        <w:t>Lanzar campañas automatizadas dirigidas a esos clientes.</w:t>
      </w:r>
    </w:p>
    <w:p w14:paraId="70587972" w14:textId="77777777" w:rsidR="00252E06" w:rsidRPr="00252E06" w:rsidRDefault="00252E06" w:rsidP="00252E06">
      <w:pPr>
        <w:numPr>
          <w:ilvl w:val="0"/>
          <w:numId w:val="8"/>
        </w:numPr>
        <w:spacing w:after="40"/>
        <w:jc w:val="both"/>
      </w:pPr>
      <w:r w:rsidRPr="00252E06">
        <w:t xml:space="preserve">Cruzar este segmento con el de </w:t>
      </w:r>
      <w:proofErr w:type="spellStart"/>
      <w:r w:rsidRPr="00252E06">
        <w:t>churn</w:t>
      </w:r>
      <w:proofErr w:type="spellEnd"/>
      <w:r w:rsidRPr="00252E06">
        <w:t xml:space="preserve"> para priorizar la cobertura.</w:t>
      </w:r>
    </w:p>
    <w:p w14:paraId="0D37F50A" w14:textId="77777777" w:rsidR="00252E06" w:rsidRPr="00252E06" w:rsidRDefault="00252E06" w:rsidP="00252E06">
      <w:pPr>
        <w:numPr>
          <w:ilvl w:val="0"/>
          <w:numId w:val="8"/>
        </w:numPr>
        <w:spacing w:after="40"/>
        <w:jc w:val="both"/>
      </w:pPr>
      <w:r w:rsidRPr="00252E06">
        <w:t>Seguimiento mensual.</w:t>
      </w:r>
    </w:p>
    <w:p w14:paraId="439BE1B0" w14:textId="77777777" w:rsidR="00252E06" w:rsidRDefault="00252E06" w:rsidP="00252E06">
      <w:pPr>
        <w:spacing w:after="40"/>
        <w:ind w:left="360"/>
        <w:jc w:val="both"/>
      </w:pPr>
    </w:p>
    <w:p w14:paraId="13B148CB" w14:textId="77777777" w:rsidR="00252E06" w:rsidRPr="00252E06" w:rsidRDefault="00252E06" w:rsidP="00252E06">
      <w:pPr>
        <w:rPr>
          <w:b/>
          <w:bCs/>
          <w:sz w:val="24"/>
          <w:szCs w:val="24"/>
        </w:rPr>
      </w:pPr>
      <w:r w:rsidRPr="00252E06">
        <w:rPr>
          <w:b/>
          <w:bCs/>
          <w:sz w:val="28"/>
          <w:szCs w:val="28"/>
        </w:rPr>
        <w:t>3.16 Ventas perdidas y motivos</w:t>
      </w:r>
    </w:p>
    <w:p w14:paraId="56158C39" w14:textId="77777777" w:rsidR="00252E06" w:rsidRDefault="00252E06" w:rsidP="00252E06"/>
    <w:p w14:paraId="71C94F1E" w14:textId="5D19D8B8" w:rsidR="00E942AF" w:rsidRDefault="00000000" w:rsidP="00252E06">
      <w:pPr>
        <w:spacing w:after="40"/>
        <w:jc w:val="both"/>
      </w:pPr>
      <w:r w:rsidRPr="00252E06">
        <w:rPr>
          <w:b/>
          <w:bCs/>
        </w:rPr>
        <w:t xml:space="preserve">Lectura: </w:t>
      </w:r>
      <w:r>
        <w:t>El 74% de las oportunidades cerradas se pierde, 9 puntos sobre la meta (≤ 65%). Motivos: precio 42%, competencia 28%, presupuesto del cliente 18% y producto/funcionalidad 12%. Precio y competencia suman 70%. Precio equivale a cerca del 31% de las oportunidades cerradas (42% × 74%), aunque el descuento promedio subió a 14%.</w:t>
      </w:r>
    </w:p>
    <w:p w14:paraId="52ED26A3" w14:textId="77777777" w:rsidR="00E942AF" w:rsidRDefault="00000000">
      <w:pPr>
        <w:keepNext/>
        <w:spacing w:after="40"/>
      </w:pPr>
      <w:r>
        <w:rPr>
          <w:b/>
          <w:bCs/>
        </w:rPr>
        <w:t>Acción:</w:t>
      </w:r>
    </w:p>
    <w:bookmarkEnd w:id="0"/>
    <w:p w14:paraId="22B2F8EB" w14:textId="77777777" w:rsidR="00252E06" w:rsidRPr="00252E06" w:rsidRDefault="00252E06" w:rsidP="00252E06">
      <w:pPr>
        <w:numPr>
          <w:ilvl w:val="0"/>
          <w:numId w:val="9"/>
        </w:numPr>
        <w:spacing w:after="40"/>
        <w:jc w:val="both"/>
      </w:pPr>
      <w:r w:rsidRPr="00252E06">
        <w:t>Cruzar el motivo “precio” con el descuento aplicado en CPQ, para ver si se pierde incluso con descuento.</w:t>
      </w:r>
    </w:p>
    <w:p w14:paraId="47040D90" w14:textId="77777777" w:rsidR="00252E06" w:rsidRPr="00252E06" w:rsidRDefault="00252E06" w:rsidP="00252E06">
      <w:pPr>
        <w:numPr>
          <w:ilvl w:val="0"/>
          <w:numId w:val="9"/>
        </w:numPr>
        <w:spacing w:after="40"/>
        <w:jc w:val="both"/>
      </w:pPr>
      <w:r w:rsidRPr="00252E06">
        <w:t>Reforzar la propuesta de valor y segmentar a los clientes, con la demo técnica como apoyo.</w:t>
      </w:r>
    </w:p>
    <w:p w14:paraId="01891E04" w14:textId="77777777" w:rsidR="00252E06" w:rsidRPr="00252E06" w:rsidRDefault="00252E06" w:rsidP="00252E06">
      <w:pPr>
        <w:numPr>
          <w:ilvl w:val="0"/>
          <w:numId w:val="9"/>
        </w:numPr>
        <w:spacing w:after="40"/>
        <w:jc w:val="both"/>
      </w:pPr>
      <w:r w:rsidRPr="00252E06">
        <w:t>Seguimiento mensual de motivos, verificando la calidad del registro del motivo en CRM.</w:t>
      </w:r>
    </w:p>
    <w:p w14:paraId="108269CB" w14:textId="77777777" w:rsidR="004F35D2" w:rsidRDefault="004F35D2" w:rsidP="004F35D2">
      <w:pPr>
        <w:spacing w:after="40"/>
        <w:jc w:val="both"/>
      </w:pPr>
    </w:p>
    <w:p w14:paraId="0E51E365" w14:textId="77777777" w:rsidR="004F35D2" w:rsidRDefault="004F35D2" w:rsidP="004F35D2">
      <w:pPr>
        <w:spacing w:after="40"/>
        <w:jc w:val="both"/>
      </w:pPr>
    </w:p>
    <w:p w14:paraId="547CCB0A" w14:textId="41D17243" w:rsidR="00252E06" w:rsidRPr="00252E06" w:rsidRDefault="00252E06" w:rsidP="00252E06">
      <w:pPr>
        <w:spacing w:after="40"/>
        <w:jc w:val="both"/>
      </w:pPr>
    </w:p>
    <w:sectPr w:rsidR="00252E06" w:rsidRPr="00252E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556"/>
    <w:multiLevelType w:val="multilevel"/>
    <w:tmpl w:val="A97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29BA"/>
    <w:multiLevelType w:val="multilevel"/>
    <w:tmpl w:val="E3B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35B54"/>
    <w:multiLevelType w:val="multilevel"/>
    <w:tmpl w:val="F7F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754C5"/>
    <w:multiLevelType w:val="multilevel"/>
    <w:tmpl w:val="A3E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A2978"/>
    <w:multiLevelType w:val="hybridMultilevel"/>
    <w:tmpl w:val="B5E6D532"/>
    <w:lvl w:ilvl="0" w:tplc="961E8B46">
      <w:start w:val="1"/>
      <w:numFmt w:val="bullet"/>
      <w:lvlText w:val="●"/>
      <w:lvlJc w:val="left"/>
      <w:pPr>
        <w:ind w:left="720" w:hanging="360"/>
      </w:pPr>
    </w:lvl>
    <w:lvl w:ilvl="1" w:tplc="8208D70A">
      <w:start w:val="1"/>
      <w:numFmt w:val="bullet"/>
      <w:lvlText w:val="○"/>
      <w:lvlJc w:val="left"/>
      <w:pPr>
        <w:ind w:left="1440" w:hanging="360"/>
      </w:pPr>
    </w:lvl>
    <w:lvl w:ilvl="2" w:tplc="543876C2">
      <w:start w:val="1"/>
      <w:numFmt w:val="bullet"/>
      <w:lvlText w:val="■"/>
      <w:lvlJc w:val="left"/>
      <w:pPr>
        <w:ind w:left="2160" w:hanging="360"/>
      </w:pPr>
    </w:lvl>
    <w:lvl w:ilvl="3" w:tplc="69BA7076">
      <w:start w:val="1"/>
      <w:numFmt w:val="bullet"/>
      <w:lvlText w:val="●"/>
      <w:lvlJc w:val="left"/>
      <w:pPr>
        <w:ind w:left="2880" w:hanging="360"/>
      </w:pPr>
    </w:lvl>
    <w:lvl w:ilvl="4" w:tplc="FC60AFBE">
      <w:start w:val="1"/>
      <w:numFmt w:val="bullet"/>
      <w:lvlText w:val="○"/>
      <w:lvlJc w:val="left"/>
      <w:pPr>
        <w:ind w:left="3600" w:hanging="360"/>
      </w:pPr>
    </w:lvl>
    <w:lvl w:ilvl="5" w:tplc="82BCD84C">
      <w:start w:val="1"/>
      <w:numFmt w:val="bullet"/>
      <w:lvlText w:val="■"/>
      <w:lvlJc w:val="left"/>
      <w:pPr>
        <w:ind w:left="4320" w:hanging="360"/>
      </w:pPr>
    </w:lvl>
    <w:lvl w:ilvl="6" w:tplc="8766BAD0">
      <w:start w:val="1"/>
      <w:numFmt w:val="bullet"/>
      <w:lvlText w:val="●"/>
      <w:lvlJc w:val="left"/>
      <w:pPr>
        <w:ind w:left="5040" w:hanging="360"/>
      </w:pPr>
    </w:lvl>
    <w:lvl w:ilvl="7" w:tplc="49FA6580">
      <w:start w:val="1"/>
      <w:numFmt w:val="bullet"/>
      <w:lvlText w:val="●"/>
      <w:lvlJc w:val="left"/>
      <w:pPr>
        <w:ind w:left="5760" w:hanging="360"/>
      </w:pPr>
    </w:lvl>
    <w:lvl w:ilvl="8" w:tplc="518A771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C344CDF"/>
    <w:multiLevelType w:val="multilevel"/>
    <w:tmpl w:val="9CA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E75FD"/>
    <w:multiLevelType w:val="multilevel"/>
    <w:tmpl w:val="79A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5777F"/>
    <w:multiLevelType w:val="multilevel"/>
    <w:tmpl w:val="1DF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2242F"/>
    <w:multiLevelType w:val="multilevel"/>
    <w:tmpl w:val="B08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833ED"/>
    <w:multiLevelType w:val="hybridMultilevel"/>
    <w:tmpl w:val="7D8E52D2"/>
    <w:lvl w:ilvl="0" w:tplc="C764DA36">
      <w:start w:val="1"/>
      <w:numFmt w:val="bullet"/>
      <w:lvlText w:val="•"/>
      <w:lvlJc w:val="left"/>
      <w:pPr>
        <w:ind w:left="720" w:hanging="360"/>
      </w:pPr>
    </w:lvl>
    <w:lvl w:ilvl="1" w:tplc="E0744FCC">
      <w:numFmt w:val="decimal"/>
      <w:lvlText w:val=""/>
      <w:lvlJc w:val="left"/>
    </w:lvl>
    <w:lvl w:ilvl="2" w:tplc="D116F1A4">
      <w:numFmt w:val="decimal"/>
      <w:lvlText w:val=""/>
      <w:lvlJc w:val="left"/>
    </w:lvl>
    <w:lvl w:ilvl="3" w:tplc="B94C392A">
      <w:numFmt w:val="decimal"/>
      <w:lvlText w:val=""/>
      <w:lvlJc w:val="left"/>
    </w:lvl>
    <w:lvl w:ilvl="4" w:tplc="5B261386">
      <w:numFmt w:val="decimal"/>
      <w:lvlText w:val=""/>
      <w:lvlJc w:val="left"/>
    </w:lvl>
    <w:lvl w:ilvl="5" w:tplc="7574411C">
      <w:numFmt w:val="decimal"/>
      <w:lvlText w:val=""/>
      <w:lvlJc w:val="left"/>
    </w:lvl>
    <w:lvl w:ilvl="6" w:tplc="2D22CAE6">
      <w:numFmt w:val="decimal"/>
      <w:lvlText w:val=""/>
      <w:lvlJc w:val="left"/>
    </w:lvl>
    <w:lvl w:ilvl="7" w:tplc="55A619BE">
      <w:numFmt w:val="decimal"/>
      <w:lvlText w:val=""/>
      <w:lvlJc w:val="left"/>
    </w:lvl>
    <w:lvl w:ilvl="8" w:tplc="EC46B930">
      <w:numFmt w:val="decimal"/>
      <w:lvlText w:val=""/>
      <w:lvlJc w:val="left"/>
    </w:lvl>
  </w:abstractNum>
  <w:num w:numId="1" w16cid:durableId="1290554577">
    <w:abstractNumId w:val="4"/>
    <w:lvlOverride w:ilvl="0">
      <w:startOverride w:val="1"/>
    </w:lvlOverride>
  </w:num>
  <w:num w:numId="2" w16cid:durableId="1345548228">
    <w:abstractNumId w:val="9"/>
    <w:lvlOverride w:ilvl="0">
      <w:startOverride w:val="1"/>
    </w:lvlOverride>
  </w:num>
  <w:num w:numId="3" w16cid:durableId="1581980911">
    <w:abstractNumId w:val="5"/>
  </w:num>
  <w:num w:numId="4" w16cid:durableId="852190368">
    <w:abstractNumId w:val="3"/>
  </w:num>
  <w:num w:numId="5" w16cid:durableId="1537233436">
    <w:abstractNumId w:val="1"/>
  </w:num>
  <w:num w:numId="6" w16cid:durableId="2019112552">
    <w:abstractNumId w:val="2"/>
  </w:num>
  <w:num w:numId="7" w16cid:durableId="1829714102">
    <w:abstractNumId w:val="8"/>
  </w:num>
  <w:num w:numId="8" w16cid:durableId="1529483771">
    <w:abstractNumId w:val="6"/>
  </w:num>
  <w:num w:numId="9" w16cid:durableId="606042493">
    <w:abstractNumId w:val="0"/>
  </w:num>
  <w:num w:numId="10" w16cid:durableId="473059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AF"/>
    <w:rsid w:val="00252E06"/>
    <w:rsid w:val="004A242B"/>
    <w:rsid w:val="004F35D2"/>
    <w:rsid w:val="005C6EDB"/>
    <w:rsid w:val="00E9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8255A"/>
  <w15:docId w15:val="{C99DE6EF-BA46-42CF-8465-E801EA84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1525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Abraham Gamarra Alvarez</cp:lastModifiedBy>
  <cp:revision>3</cp:revision>
  <dcterms:created xsi:type="dcterms:W3CDTF">2026-10-14T01:58:00Z</dcterms:created>
  <dcterms:modified xsi:type="dcterms:W3CDTF">2026-10-14T23:46:00Z</dcterms:modified>
</cp:coreProperties>
</file>