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i w:val="0"/>
          <w:color w:val="CC071E"/>
          <w:sz w:val="24"/>
        </w:rPr>
        <w:t>INTELIGENCIA DE NEGOCIOS</w:t>
      </w:r>
    </w:p>
    <w:p>
      <w:pPr>
        <w:spacing w:after="80"/>
        <w:jc w:val="center"/>
      </w:pPr>
      <w:r>
        <w:rPr>
          <w:b/>
          <w:i w:val="0"/>
          <w:color w:val="111827"/>
          <w:sz w:val="48"/>
        </w:rPr>
        <w:t>H&amp;M: recuperar la tienda sin regalar el margen</w:t>
      </w:r>
    </w:p>
    <w:p>
      <w:pPr>
        <w:spacing w:after="600"/>
        <w:jc w:val="center"/>
      </w:pPr>
      <w:r>
        <w:rPr>
          <w:b w:val="0"/>
          <w:i w:val="0"/>
          <w:color w:val="4B5563"/>
          <w:sz w:val="24"/>
        </w:rPr>
        <w:t>Solución de inteligencia de negocios: ETL con SSIS, Data Warehouse, cubo tabular SSAS y dashboards en Power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370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Datos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31,788,324 transacciones · 1,371,980 clientes · 105,542 artículos · 20/09/2018 al 22/09/2020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Arquitectura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CSV / Excel → STAGE_HM → DWH_HM → cubo Tabular_HM → Power BI (conexión en directo)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Herramientas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SQL Server 2025 Developer, Integration Services, Analysis Services (tabular), Visual Studio 2022, Power BI Desktop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Entregables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Scripts SQL, solución H&amp;M.sln (SSIS + tabular), informe HM_Dashboard.pbip, este documento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Repositorio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https://github.com/juanbch23/inteligenciaDeNegocios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80"/>
      </w:pPr>
      <w:r>
        <w:rPr>
          <w:b w:val="0"/>
          <w:i w:val="0"/>
        </w:rPr>
        <w:t>A nivel global, H&amp;M cumple su meta de ventas (110 % del Escenario 2). Sin embargo, frente al mismo periodo del año anterior vende 10.6 % menos: la tienda física cae 21.9 % y en abril de 2020 no vende nada por el cierre de la pandemia. El canal online sostiene el negocio, pero con cestas más pequeñas (−9.4 % de ticket), mientras la tienda liquida con cada vez más descuento (20.9 %) y se captan menos clientes nuevos.</w:t>
      </w:r>
    </w:p>
    <w:p>
      <w:pPr>
        <w:spacing w:after="80"/>
      </w:pPr>
      <w:r>
        <w:rPr>
          <w:b w:val="0"/>
          <w:i w:val="0"/>
        </w:rPr>
        <w:t>La solución integra los seis archivos fuente en un Data Warehouse en estrella, un cubo tabular con 73 medidas DAX y tres dashboards (estratégico, táctico y analítico) que responden tres preguntas: ¿vendemos por el canal correcto?, ¿a los clientes correctos? y ¿con el precio y las metas correctas? El hallazgo de mayor impacto: el cliente omnicanal compra 3.8 veces más que el de un solo canal, y solo el 35.5 % de los clientes lo 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83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368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Decisión que habilita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 venta cae aunque se cumple la meta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−10.6 % interanual; meta 110 %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Separar efecto pandemia del desempeño comparable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Metas mal repartidas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Solo 16 de 56 secciones cumplen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Recalcular metas por peso de cada sección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Cestas online más pequeñas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Ticket online −9.4 %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Venta cruzada en el checkout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 tienda liquida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Descuento 17.1 % → 20.9 %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Política de rebajas y traslado de stock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El omnicanal vale más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3.8 veces más venta por cliente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Click &amp; collect y cupones cruzados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El club vale más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+40 % por cliente; 33.8 % de penetración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Activar a los socios inactivos</w:t>
            </w:r>
          </w:p>
        </w:tc>
      </w:tr>
    </w:tbl>
    <w:p>
      <w:pPr>
        <w:spacing w:after="40"/>
      </w:pPr>
    </w:p>
    <w:p>
      <w:pPr>
        <w:pStyle w:val="Heading1"/>
      </w:pPr>
      <w:r>
        <w:t>2. El caso de negocio</w:t>
      </w:r>
    </w:p>
    <w:p>
      <w:pPr>
        <w:pStyle w:val="Heading2"/>
      </w:pPr>
      <w:r>
        <w:t>2.1 Contexto</w:t>
      </w:r>
    </w:p>
    <w:p>
      <w:pPr>
        <w:spacing w:after="80"/>
      </w:pPr>
      <w:r>
        <w:rPr>
          <w:b w:val="0"/>
          <w:i w:val="0"/>
        </w:rPr>
        <w:t>H&amp;M vende moda por dos canales: tienda física (canal 1) y online (canal 2). En dos años registra 88,465 millones en ventas (unidad del campo price; la fuente no declara moneda), 1.36 millones de clientes compradores y 105 mil artículos agrupados en 56 secciones. El área comercial fija metas diarias por departamento/sección y temporada en tres escenarios (GoalsHyM.xlsx).</w:t>
      </w:r>
    </w:p>
    <w:p>
      <w:pPr>
        <w:pStyle w:val="Heading2"/>
      </w:pPr>
      <w:r>
        <w:t>2.2 Origen del problema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Síntoma (1 ene – 22 sep)</w:t>
            </w:r>
          </w:p>
        </w:tc>
        <w:tc>
          <w:tcPr>
            <w:tcW w:type="dxa" w:w="1871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2019</w:t>
            </w:r>
          </w:p>
        </w:tc>
        <w:tc>
          <w:tcPr>
            <w:tcW w:type="dxa" w:w="1871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2020</w:t>
            </w:r>
          </w:p>
        </w:tc>
        <w:tc>
          <w:tcPr>
            <w:tcW w:type="dxa" w:w="1928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Cambio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Ventas totales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33,348 M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29,817 M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−10.6 %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Ventas tienda física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8,316 M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6,496 M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−21.9 %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Ventas online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25,032 M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23,321 M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−6.8 %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Participación online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75.1 %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78.2 %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+3.1 pp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Ticket por cesta online (año)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12,724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11,528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−9.4 %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Artículos por cesta online (año)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4.25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3.96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−0.29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Descuento implícito en tienda (año)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19.4 %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20.9 %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+1.5 pp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Clientes nuevos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535,691 (año)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245,404 (a sep.)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menor captación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En abril de 2020 la tienda física vendió 0 y en marzo cayó a 381 M (un mes normal ronda los 900 M). El canal online absorbió parte del golpe (abril 2020: +17 % frente a abril 2019), pero la caída empezó antes: enero y febrero de 2020 ya estaban 14 % y 8 % por debajo de 2019, y la temporada verano-2020 (diciembre 2019 a marzo 2020) es la única que no alcanza la meta.</w:t>
      </w:r>
    </w:p>
    <w:p>
      <w:pPr>
        <w:pStyle w:val="Heading2"/>
      </w:pPr>
      <w:r>
        <w:t>2.3 Preguntas de negocio</w:t>
      </w:r>
    </w:p>
    <w:p>
      <w:pPr>
        <w:pStyle w:val="ListBullet"/>
        <w:spacing w:after="40"/>
      </w:pPr>
      <w:r>
        <w:rPr>
          <w:b/>
        </w:rPr>
        <w:t xml:space="preserve">¿Estamos vendiendo por el canal correcto? </w:t>
      </w:r>
      <w:r>
        <w:t>tienda vs. online, omnicanalidad.</w:t>
      </w:r>
    </w:p>
    <w:p>
      <w:pPr>
        <w:pStyle w:val="ListBullet"/>
        <w:spacing w:after="40"/>
      </w:pPr>
      <w:r>
        <w:rPr>
          <w:b/>
        </w:rPr>
        <w:t xml:space="preserve">¿A los clientes correctos? </w:t>
      </w:r>
      <w:r>
        <w:t>captación, recompra, retención y club.</w:t>
      </w:r>
    </w:p>
    <w:p>
      <w:pPr>
        <w:pStyle w:val="ListBullet"/>
        <w:spacing w:after="40"/>
      </w:pPr>
      <w:r>
        <w:rPr>
          <w:b/>
        </w:rPr>
        <w:t xml:space="preserve">¿Con el precio y las metas correctas? </w:t>
      </w:r>
      <w:r>
        <w:t>descuento y cumplimiento por sección y temporada.</w:t>
      </w:r>
    </w:p>
    <w:p>
      <w:pPr>
        <w:pStyle w:val="Heading1"/>
      </w:pPr>
      <w:r>
        <w:t>3. Arquitectura de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18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53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Fuentes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6 archivos (5 CSV + 1 Excel)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Transacciones, clientes, artículos, calendario, temporadas y metas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Staging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STAGE_HM (esquema HM)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Copia fiel de cada archivo; se vacía y recarga en cada ejecución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Data Warehouse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DWH_HM (estrella)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6 dimensiones con comodín −1, 2 hechos, tablas de error y auditoría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ETL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SSIS: proyectos stage_H&amp;M y DWH_H&amp;M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15 paquetes + 2 maestros con auditoría DIM_AUDIT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Modelo semántico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SSAS tabular Tabular_HM (compat. 1200)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8 tablas, 9 relaciones, 73 medidas DAX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Visualización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Power BI HM_Dashboard.pbip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3 dashboards con conexión en directo al cubo</w:t>
            </w:r>
          </w:p>
        </w:tc>
      </w:tr>
    </w:tbl>
    <w:p>
      <w:pPr>
        <w:spacing w:after="40"/>
      </w:pPr>
    </w:p>
    <w:p>
      <w:pPr>
        <w:pStyle w:val="Heading2"/>
      </w:pPr>
      <w:r>
        <w:t>3.1 Calidad de datos detectada y tratamiento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Problema en la fuente</w:t>
            </w:r>
          </w:p>
        </w:tc>
        <w:tc>
          <w:tcPr>
            <w:tcW w:type="dxa" w:w="4819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Tratamiento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articles.csv y customers.csv terminan línea en LF; el resto en CRLF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Delimitador de fila configurado por archivo en SSIS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DimFecha.csv trae Fin_Semana = 0 en todos los días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Recalculado con columna derivada (sábado y domingo = 1)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FN y Active vienen como '1.0' o vacío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Convertidos a 1/0 en DimCliente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fashion_news_frequency mezcla NONE, None y vacío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Normalizado a NONE / SIN DATO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article_id con cero a la izquierda en artículos pero no en transacciones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Ambos se cargan como entero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Texto con codificación mixta (ChloÃ©)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Se conserva como viene de la fuente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Monto de GoalsHyM es una meta diaria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Vista que expande la meta a cada día de su mes y temporada</w:t>
            </w:r>
          </w:p>
        </w:tc>
      </w:tr>
    </w:tbl>
    <w:p>
      <w:pPr>
        <w:spacing w:after="40"/>
      </w:pPr>
    </w:p>
    <w:p>
      <w:pPr>
        <w:pStyle w:val="Heading1"/>
      </w:pPr>
      <w:r>
        <w:t>4. ETL con SSIS y Data Warehouse</w:t>
      </w:r>
    </w:p>
    <w:p>
      <w:pPr>
        <w:spacing w:after="80"/>
      </w:pPr>
      <w:r>
        <w:rPr>
          <w:b w:val="0"/>
          <w:i w:val="0"/>
        </w:rPr>
        <w:t>Cada paquete sigue la plantilla del curso: Task Prior RowCnt → Task Get AuditKey → TRUNCATE → flujo de datos → Task Post RowCnt → Update AuditDim. Los maestros ejecutan los paquetes dentro de contenedores de secuencia (Dimensiones y luego Hechos). Las dimensiones se cargan con procedimientos MERGE (SCD tipo 1) y los hechos con búsquedas (Lookup) y división condicional: las filas con alguna llave sin coincidencia van a la tabla de error.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1701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Filas</w:t>
            </w:r>
          </w:p>
        </w:tc>
        <w:tc>
          <w:tcPr>
            <w:tcW w:type="dxa" w:w="3969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Validación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StageTransactions → FactVentas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31,788,324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Igual al archivo; 0 errores; montos con diferencia 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StageCustomers → DimCliente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1,371,980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Igual al archivo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StageArticles → DimArticulo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105,542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Igual al archivo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StageGoals → FactMetas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27,738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Igual al Excel; 0 errores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StageFecha → DimFecha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734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210 fines de semana corregidos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StageTemporada → DimTemporada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Igual al archivo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4B5563"/>
        </w:rPr>
        <w:t>Tiempos de referencia: carga a STAGE ≈ 7 minutos (transacciones 6.8 min); carga al DWH ≈ 37 minutos; proceso del cubo ≈ 5 minutos. Llaves foráneas activas y validadas. La auditoría queda en DWH_HM.dbo.DIM_AUDIT.</w:t>
      </w:r>
    </w:p>
    <w:p>
      <w:pPr>
        <w:pStyle w:val="Heading1"/>
      </w:pPr>
      <w:r>
        <w:t>5. Indicadores críticos</w:t>
      </w:r>
    </w:p>
    <w:p>
      <w:pPr>
        <w:spacing w:after="80"/>
      </w:pPr>
      <w:r>
        <w:rPr>
          <w:b w:val="0"/>
          <w:i/>
          <w:color w:val="4B5563"/>
        </w:rPr>
        <w:t>Las metas marcadas como “propuesta” no vienen en los datos: se basan en el desempeño histórico 2018-2019 y deben validarse con el área comercial. Todas las cifras se reproducen con sql/05_indicadores.sql.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397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14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154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1474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1361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2154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Ventas e interanual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Ventas / mismo periodo año ant. − 1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0 %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−10.6 %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Tienda −21.9 %, online −6.8 %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Cumplimiento de meta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Ventas / meta diaria acumulada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100 %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110.3 %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Solo 16 de 56 secciones cumplen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Participación online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Ventas online / ventas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Monitorear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78.2 % (2020)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100 % en abril 2020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Ticket por cesta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Ventas / cestas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año ant.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9,643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Online −9.4 %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Artículos por cesta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Líneas / cestas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4.0 online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3.46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Online 4.25 → 3.96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Clientes nuevos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1.ª compra en el periodo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40 mil/mes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245,404 en 2020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Captación a la baja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Recompra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Clientes con compra en &gt; 1 mes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65 %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63.9 %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Uno de cada tres compra una sola vez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Retención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Compradores 2019 que vuelven en 2020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65 %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60.8 %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4 de cada 10 no volvieron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Club activo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Venta/cliente activo vs. no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Penetración ≥ 40 %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+40 %; 33.8 %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Vale más, pocos lo son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Omnicanal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Clientes en ambos canales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≥ 40 %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35.5 %; 3.8 veces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Palanca de mayor impacto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Descuento implícito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1 − precio / precio de lista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≤ 17 % (prop.)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Tienda 20.9 %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La tienda liquida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Concentración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Venta del top 20 % de clientes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Monitorear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69.6 %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14 secciones = 80 % de la venta</w:t>
            </w:r>
          </w:p>
        </w:tc>
      </w:tr>
    </w:tbl>
    <w:p>
      <w:pPr>
        <w:spacing w:after="40"/>
      </w:pPr>
    </w:p>
    <w:p>
      <w:pPr>
        <w:pStyle w:val="Heading3"/>
      </w:pPr>
      <w:r>
        <w:t>Reglas de cálculo</w:t>
      </w:r>
    </w:p>
    <w:p>
      <w:pPr>
        <w:pStyle w:val="ListBullet"/>
        <w:spacing w:after="40"/>
      </w:pPr>
      <w:r>
        <w:t>Cesta = mismo cliente + mismo día + mismo canal (el dataset no trae número de pedido).</w:t>
      </w:r>
    </w:p>
    <w:p>
      <w:pPr>
        <w:pStyle w:val="ListBullet"/>
        <w:spacing w:after="40"/>
      </w:pPr>
      <w:r>
        <w:t>Ticket = ventas / cestas; no se usa precio por línea como ticket.</w:t>
      </w:r>
    </w:p>
    <w:p>
      <w:pPr>
        <w:pStyle w:val="ListBullet"/>
        <w:spacing w:after="40"/>
      </w:pPr>
      <w:r>
        <w:t>Precio de lista = precio máximo observado del artículo en el periodo (aproximación: no hay lista oficial).</w:t>
      </w:r>
    </w:p>
    <w:p>
      <w:pPr>
        <w:pStyle w:val="ListBullet"/>
        <w:spacing w:after="40"/>
      </w:pPr>
      <w:r>
        <w:t>Meta = Escenario 2 como meta oficial; el monto del Excel es diario.</w:t>
      </w:r>
    </w:p>
    <w:p>
      <w:pPr>
        <w:pStyle w:val="ListBullet"/>
        <w:spacing w:after="40"/>
      </w:pPr>
      <w:r>
        <w:t>Canal 1 = tienda física y canal 2 = online (interpretación habitual del dataset).</w:t>
      </w:r>
    </w:p>
    <w:p>
      <w:pPr>
        <w:pStyle w:val="Heading3"/>
      </w:pPr>
      <w:r>
        <w:t>Del dato a la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835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Caso detectado</w:t>
            </w:r>
          </w:p>
        </w:tc>
        <w:tc>
          <w:tcPr>
            <w:tcW w:type="dxa" w:w="4252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Decisión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Interanual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Tienda −21.9 %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Plan de reactivación de tiendas por temporada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Cumplimiento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35 secciones bajo el 50 %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Metas proporcionales al peso histórico de cada sección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Ticket y artículos por cesta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Cestas online más pequeñas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Recomendaciones y bundles en el checkout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Captación y retención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Menos nuevos, 60.8 % retención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Primera compra online y reactivación segmentada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Club y omnicanal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+40 % y 3.8 veces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Activar socios y convertir clientes a omnicanal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Descuento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Tienda 20.9 %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Política de rebajas y traslado de stock al online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Concentración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Top 20 % = 69.6 %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Programa de fidelización para clientes top</w:t>
            </w:r>
          </w:p>
        </w:tc>
      </w:tr>
    </w:tbl>
    <w:p>
      <w:pPr>
        <w:spacing w:after="40"/>
      </w:pPr>
    </w:p>
    <w:p>
      <w:pPr>
        <w:pStyle w:val="Heading1"/>
      </w:pPr>
      <w:r>
        <w:t>6. Los tres dashboards</w:t>
      </w:r>
    </w:p>
    <w:p>
      <w:pPr>
        <w:spacing w:after="80"/>
      </w:pPr>
      <w:r>
        <w:rPr>
          <w:b w:val="0"/>
          <w:i w:val="0"/>
        </w:rPr>
        <w:t>Los tres dashboards se conectan en directo al cubo Tabular_HM. Comparten un estilo propio (encabezado oscuro con franja roja H&amp;M, tarjetas blancas, rojo para destacar y gris para comparar) y una narrativa dinámica: un texto calculado con DAX que cambia con los filtros y resume la historia en una frase.</w:t>
      </w:r>
    </w:p>
    <w:p>
      <w:pPr>
        <w:pStyle w:val="Heading2"/>
      </w:pPr>
      <w:r>
        <w:t>6.1 Dashboard 1 — Estratégico: “¿Crecemos de forma sana?”</w:t>
      </w:r>
    </w:p>
    <w:p>
      <w:pPr>
        <w:spacing w:after="80"/>
      </w:pPr>
      <w:r>
        <w:rPr>
          <w:b/>
        </w:rPr>
        <w:t xml:space="preserve">Audiencia: </w:t>
      </w:r>
      <w:r>
        <w:rPr>
          <w:b w:val="0"/>
        </w:rPr>
        <w:t xml:space="preserve">gerencia general, comercial y finanzas. </w:t>
      </w:r>
      <w:r>
        <w:rPr>
          <w:b/>
        </w:rPr>
        <w:t xml:space="preserve">Frecuencia: </w:t>
      </w:r>
      <w:r>
        <w:rPr>
          <w:b w:val="0"/>
        </w:rPr>
        <w:t>mensual.</w:t>
      </w:r>
    </w:p>
    <w:p>
      <w:pPr>
        <w:pStyle w:val="ListBullet"/>
        <w:spacing w:after="40"/>
      </w:pPr>
      <w:r>
        <w:t>Seis KPIs con semáforo frente a la meta: ventas, interanual, cumplimiento, participación online, retención y descuento.</w:t>
      </w:r>
    </w:p>
    <w:p>
      <w:pPr>
        <w:pStyle w:val="ListBullet"/>
        <w:spacing w:after="40"/>
      </w:pPr>
      <w:r>
        <w:t>Ventas mes a mes por año: muestra el hueco de marzo-abril 2020.</w:t>
      </w:r>
    </w:p>
    <w:p>
      <w:pPr>
        <w:pStyle w:val="ListBullet"/>
        <w:spacing w:after="40"/>
      </w:pPr>
      <w:r>
        <w:t>Cascada: cuánto de la caída explica cada canal y grupo de producto.</w:t>
      </w:r>
    </w:p>
    <w:p>
      <w:pPr>
        <w:pStyle w:val="ListBullet"/>
        <w:spacing w:after="40"/>
      </w:pPr>
      <w:r>
        <w:t>Mezcla de canal al 100 %: abril 2020 fue 100 % online.</w:t>
      </w:r>
    </w:p>
    <w:p>
      <w:pPr>
        <w:pStyle w:val="ListBullet"/>
        <w:spacing w:after="40"/>
      </w:pPr>
      <w:r>
        <w:t>Captación de clientes nuevos por mes.</w:t>
      </w:r>
    </w:p>
    <w:p>
      <w:pPr>
        <w:pStyle w:val="ListBullet"/>
        <w:spacing w:after="40"/>
      </w:pPr>
      <w:r>
        <w:t>Por defecto: año 2020 y Escenario 2; el gráfico mensual muestra un tooltip con la tendencia de 7 días.</w:t>
      </w:r>
    </w:p>
    <w:p>
      <w:pPr>
        <w:pStyle w:val="ListBullet"/>
        <w:spacing w:after="40"/>
      </w:pPr>
      <w:r>
        <w:t>Nota de lectura: los primeros meses (sep-oct 2018) muestran muchos clientes nuevos porque los datos empiezan ahí; la comparación útil es entre 2019 y 2020.</w:t>
      </w:r>
    </w:p>
    <w:p>
      <w:pPr>
        <w:pStyle w:val="ListBullet"/>
        <w:spacing w:after="40"/>
      </w:pPr>
      <w:r>
        <w:t>Nota de lectura: dentro de un solo año el cliente omnicanal compra 2.2 veces más; en todo el periodo, 3.8 veces.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22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B5563"/>
          <w:sz w:val="18"/>
        </w:rPr>
        <w:t>Figura 1. Dashboard estratégico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CC071E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654"/>
            <w:shd w:val="clear" w:color="auto" w:fill="CC071E"/>
          </w:tcPr>
          <w:p>
            <w:r/>
            <w:r>
              <w:rPr>
                <w:b/>
                <w:color w:val="FFFFFF"/>
                <w:sz w:val="19"/>
              </w:rPr>
              <w:t>Mensaje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Cumplimos la meta: 103 % en 2020 (110 % en todo el periodo).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Conflicto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Pero vendemos 10.6 % menos que en el mismo periodo de 2019.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Evidencia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La tienda cae 21.9 % (0 ventas en abril) y el online −6.8 %; ya caíamos en enero y febrero.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Resolución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El online sostiene el negocio y el cliente omnicanal compra 3.8 veces más.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Acción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Reactivar la tienda como puerta de entrada al omnicanal y separar el efecto pandemia en las metas 2021.</w:t>
            </w:r>
          </w:p>
        </w:tc>
      </w:tr>
    </w:tbl>
    <w:p>
      <w:pPr>
        <w:spacing w:after="40"/>
      </w:pPr>
    </w:p>
    <w:p>
      <w:pPr>
        <w:pStyle w:val="Heading2"/>
      </w:pPr>
      <w:r>
        <w:t>6.2 Dashboard 2 — Táctico: “Torre de control de metas”</w:t>
      </w:r>
    </w:p>
    <w:p>
      <w:pPr>
        <w:spacing w:after="80"/>
      </w:pPr>
      <w:r>
        <w:rPr>
          <w:b/>
        </w:rPr>
        <w:t xml:space="preserve">Audiencia: </w:t>
      </w:r>
      <w:r>
        <w:rPr>
          <w:b w:val="0"/>
        </w:rPr>
        <w:t xml:space="preserve">jefes de sección y de temporada. </w:t>
      </w:r>
      <w:r>
        <w:rPr>
          <w:b/>
        </w:rPr>
        <w:t xml:space="preserve">Frecuencia: </w:t>
      </w:r>
      <w:r>
        <w:rPr>
          <w:b w:val="0"/>
        </w:rPr>
        <w:t>diaria / por temporada.</w:t>
      </w:r>
    </w:p>
    <w:p>
      <w:pPr>
        <w:pStyle w:val="ListBullet"/>
        <w:spacing w:after="40"/>
      </w:pPr>
      <w:r>
        <w:t>KPIs: ventas, meta, cumplimiento con semáforo, secciones que cumplen y secciones bajo el 50 %.</w:t>
      </w:r>
    </w:p>
    <w:p>
      <w:pPr>
        <w:pStyle w:val="ListBullet"/>
        <w:spacing w:after="40"/>
      </w:pPr>
      <w:r>
        <w:t>Mapa de calor sección × temporada: verde ≥ 100 %, ámbar ≥ 90 %, rojo &lt; 90 %.</w:t>
      </w:r>
    </w:p>
    <w:p>
      <w:pPr>
        <w:pStyle w:val="ListBullet"/>
        <w:spacing w:after="40"/>
      </w:pPr>
      <w:r>
        <w:t>Dispersión meta vs. venta por sección: las burbujas lejos de la diagonal son metas mal asignadas.</w:t>
      </w:r>
    </w:p>
    <w:p>
      <w:pPr>
        <w:pStyle w:val="ListBullet"/>
        <w:spacing w:after="40"/>
      </w:pPr>
      <w:r>
        <w:t>Top 5 y bottom 5 de cumplimiento.</w:t>
      </w:r>
    </w:p>
    <w:p>
      <w:pPr>
        <w:pStyle w:val="ListBullet"/>
        <w:spacing w:after="40"/>
      </w:pPr>
      <w:r>
        <w:t>Curva de venta acumulada vs. meta acumulada para seguir una temporada día a día.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44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B5563"/>
          <w:sz w:val="18"/>
        </w:rPr>
        <w:t>Figura 2. Dashboard táctico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CC071E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654"/>
            <w:shd w:val="clear" w:color="auto" w:fill="CC071E"/>
          </w:tcPr>
          <w:p>
            <w:r/>
            <w:r>
              <w:rPr>
                <w:b/>
                <w:color w:val="FFFFFF"/>
                <w:sz w:val="19"/>
              </w:rPr>
              <w:t>Mensaje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La meta global se cumple (110 %).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Conflicto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Solo 16 de 56 secciones la alcanzan y 35 no llegan ni a la mitad.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Evidencia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Las metas son casi iguales para todas las secciones: Womens Swimwear llega a 1,918 % y Ladies Other a 1 %.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Resolución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Las metas deben reflejar el peso histórico de cada sección.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Acción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Recalcular las metas por sección para la próxima temporada y seguirlas con la curva acumulada.</w:t>
            </w:r>
          </w:p>
        </w:tc>
      </w:tr>
    </w:tbl>
    <w:p>
      <w:pPr>
        <w:spacing w:after="40"/>
      </w:pPr>
    </w:p>
    <w:p>
      <w:pPr>
        <w:pStyle w:val="Heading2"/>
      </w:pPr>
      <w:r>
        <w:t>6.3 Dashboard 3 — Analítico: “Laboratorio de cliente y precio”</w:t>
      </w:r>
    </w:p>
    <w:p>
      <w:pPr>
        <w:spacing w:after="80"/>
      </w:pPr>
      <w:r>
        <w:rPr>
          <w:b/>
        </w:rPr>
        <w:t xml:space="preserve">Audiencia: </w:t>
      </w:r>
      <w:r>
        <w:rPr>
          <w:b w:val="0"/>
        </w:rPr>
        <w:t xml:space="preserve">marketing, pricing y BI. </w:t>
      </w:r>
      <w:r>
        <w:rPr>
          <w:b/>
        </w:rPr>
        <w:t xml:space="preserve">Frecuencia: </w:t>
      </w:r>
      <w:r>
        <w:rPr>
          <w:b w:val="0"/>
        </w:rPr>
        <w:t>semanal / mensual.</w:t>
      </w:r>
    </w:p>
    <w:p>
      <w:pPr>
        <w:pStyle w:val="ListBullet"/>
        <w:spacing w:after="40"/>
      </w:pPr>
      <w:r>
        <w:t>KPIs: ticket y artículos por cesta, recompra, % omnicanal, multiplicador omnicanal y venta del top 20 % (sin filtro de año: todo el periodo).</w:t>
      </w:r>
    </w:p>
    <w:p>
      <w:pPr>
        <w:pStyle w:val="ListBullet"/>
        <w:spacing w:after="40"/>
      </w:pPr>
      <w:r>
        <w:t>Árbol de descomposición: canal → grupo → sección → tipo de cliente → edad (en la presentación se abre en vivo con el botón +).</w:t>
      </w:r>
    </w:p>
    <w:p>
      <w:pPr>
        <w:pStyle w:val="ListBullet"/>
        <w:spacing w:after="40"/>
      </w:pPr>
      <w:r>
        <w:t>Venta por cliente según tipo de cliente y según club activo por edad.</w:t>
      </w:r>
    </w:p>
    <w:p>
      <w:pPr>
        <w:pStyle w:val="ListBullet"/>
        <w:spacing w:after="40"/>
      </w:pPr>
      <w:r>
        <w:t>Descuento implícito por canal y líneas por banda de descuento.</w:t>
      </w:r>
    </w:p>
    <w:p>
      <w:pPr>
        <w:pStyle w:val="ListBullet"/>
        <w:spacing w:after="40"/>
      </w:pPr>
      <w:r>
        <w:t>Ticket y artículos por cesta por mes; Pareto de clientes por segmento de valor.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4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B5563"/>
          <w:sz w:val="18"/>
        </w:rPr>
        <w:t>Figura 3. Dashboard analítico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CC071E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654"/>
            <w:shd w:val="clear" w:color="auto" w:fill="CC071E"/>
          </w:tcPr>
          <w:p>
            <w:r/>
            <w:r>
              <w:rPr>
                <w:b/>
                <w:color w:val="FFFFFF"/>
                <w:sz w:val="19"/>
              </w:rPr>
              <w:t>Mensaje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1.36 millones de clientes compran en H&amp;M.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Conflicto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Cada vez compran menos por visita y se captan menos clientes nuevos.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Evidencia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Ticket online −9.4 %; el cliente omnicanal vale 3.8 veces más y el de club activo 40 % más; la tienda vende con 20.9 % de descuento.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Resolución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Convertir clientes de un canal en omnicanal y activar el club, sin depender de la rebaja.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Acción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Campañas segmentadas por edad y canal, click &amp; collect y política de rebajas por temporada.</w:t>
            </w:r>
          </w:p>
        </w:tc>
      </w:tr>
    </w:tbl>
    <w:p>
      <w:pPr>
        <w:spacing w:after="40"/>
      </w:pPr>
    </w:p>
    <w:p>
      <w:pPr>
        <w:pStyle w:val="Heading1"/>
      </w:pPr>
      <w:r>
        <w:t>7. Recomendaciones</w:t>
      </w:r>
    </w:p>
    <w:p>
      <w:pPr>
        <w:pStyle w:val="ListBullet"/>
        <w:spacing w:after="40"/>
      </w:pPr>
      <w:r>
        <w:rPr>
          <w:b/>
        </w:rPr>
        <w:t xml:space="preserve">Omnicanal primero: </w:t>
      </w:r>
      <w:r>
        <w:t>click &amp; collect, devoluciones en tienda de compras online y cupones cruzados. Subir de 35.5 % a 40 % de clientes omnicanal es la palanca de mayor impacto.</w:t>
      </w:r>
    </w:p>
    <w:p>
      <w:pPr>
        <w:pStyle w:val="ListBullet"/>
        <w:spacing w:after="40"/>
      </w:pPr>
      <w:r>
        <w:rPr>
          <w:b/>
        </w:rPr>
        <w:t xml:space="preserve">Metas por sección: </w:t>
      </w:r>
      <w:r>
        <w:t>recalcularlas con base en la participación histórica; hoy 35 secciones no llegan al 50 %.</w:t>
      </w:r>
    </w:p>
    <w:p>
      <w:pPr>
        <w:pStyle w:val="ListBullet"/>
        <w:spacing w:after="40"/>
      </w:pPr>
      <w:r>
        <w:rPr>
          <w:b/>
        </w:rPr>
        <w:t xml:space="preserve">Tienda sin liquidar: </w:t>
      </w:r>
      <w:r>
        <w:t>política de rebajas por temporada y traslado de stock al canal online para bajar el descuento de 20.9 % a ≤ 17 %.</w:t>
      </w:r>
    </w:p>
    <w:p>
      <w:pPr>
        <w:pStyle w:val="ListBullet"/>
        <w:spacing w:after="40"/>
      </w:pPr>
      <w:r>
        <w:rPr>
          <w:b/>
        </w:rPr>
        <w:t xml:space="preserve">Cestas más grandes: </w:t>
      </w:r>
      <w:r>
        <w:t>recomendaciones 'completa el look' y umbral de envío gratis por encima del ticket actual.</w:t>
      </w:r>
    </w:p>
    <w:p>
      <w:pPr>
        <w:pStyle w:val="ListBullet"/>
        <w:spacing w:after="40"/>
      </w:pPr>
      <w:r>
        <w:rPr>
          <w:b/>
        </w:rPr>
        <w:t xml:space="preserve">Clientes: </w:t>
      </w:r>
      <w:r>
        <w:t>reactivar al 39 % que no volvió en 2020 y activar a los 808 mil socios ACTIVE sin Active = 1.</w:t>
      </w:r>
    </w:p>
    <w:p>
      <w:pPr>
        <w:pStyle w:val="Heading1"/>
      </w:pPr>
      <w:r>
        <w:t>8. Guion de la presentación (15 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7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07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2041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6009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Qué mostrar / decir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Apertura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El titular: cumplimos la meta pero vendemos 10.6 % menos. Las tres preguntas de negocio.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Datos y arquitectura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6 fuentes, 31.8 M de transacciones; CSV → STAGE → DWH → cubo → Power BI.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ETL y calidad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Paquetes con auditoría, búsquedas y tabla de error; problemas de calidad encontrados y cómo se resolvieron.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Modelo y cubo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Estrella con 6 dimensiones y 2 hechos; 73 medidas DAX; meta diaria.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Dashboard estratégico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Recorrer la narrativa: KPIs en rojo, hueco de abril 2020, cascada por canal.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Dashboard táctico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Mapa de calor y dispersión: metas mal asignadas; filtrar una temporada y ver la curva acumulada.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Dashboard analítico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Árbol de descomposición en vivo; omnicanal 3.8 veces; descuento de la tienda.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 min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Cierre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Cinco recomendaciones y la decisión que habilita cada indicador.</w:t>
            </w:r>
          </w:p>
        </w:tc>
      </w:tr>
    </w:tbl>
    <w:p>
      <w:pPr>
        <w:spacing w:after="40"/>
      </w:pPr>
    </w:p>
    <w:p>
      <w:pPr>
        <w:pStyle w:val="Heading3"/>
      </w:pPr>
      <w:r>
        <w:t>Preguntas probables y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6236"/>
            <w:shd w:val="clear" w:color="auto" w:fill="111827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¿Por qué la meta es diaria?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Como meta mensual el cumplimiento daría ~2.800 %; como diaria da 127/110/95 % en los tres escenarios, que es coherente.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¿Cómo calculan el ticket sin número de pedido?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Cesta = mismo cliente, día y canal. Es la convención habitual con este dataset.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¿De dónde sale el descuento?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Precio cobrado vs. el precio máximo observado del mismo artículo; es una aproximación al precio de lista.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¿Cómo saben que canal 2 es online?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Es la interpretación habitual del dataset; además, en abril 2020 (tiendas cerradas) solo vendió el canal 2.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¿Cómo validaron las cifras?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03_validaciones.sql (archivo vs. STAGE vs. DWH, montos con diferencia 0) y 05_indicadores.sql contra las medidas DAX.</w:t>
            </w:r>
          </w:p>
        </w:tc>
      </w:tr>
    </w:tbl>
    <w:p>
      <w:pPr>
        <w:spacing w:after="40"/>
      </w:pPr>
    </w:p>
    <w:p>
      <w:pPr>
        <w:pStyle w:val="Heading1"/>
      </w:pPr>
      <w:r>
        <w:t>9. Supuestos y limitaciones</w:t>
      </w:r>
    </w:p>
    <w:p>
      <w:pPr>
        <w:pStyle w:val="ListBullet"/>
        <w:spacing w:after="40"/>
      </w:pPr>
      <w:r>
        <w:t>Los datos terminan el 22/09/2020: 2018 y 2020 son años incompletos; por eso se compara el mismo periodo.</w:t>
      </w:r>
    </w:p>
    <w:p>
      <w:pPr>
        <w:pStyle w:val="ListBullet"/>
        <w:spacing w:after="40"/>
      </w:pPr>
      <w:r>
        <w:t>La fuente no declara moneda; los importes están en la unidad del campo price.</w:t>
      </w:r>
    </w:p>
    <w:p>
      <w:pPr>
        <w:pStyle w:val="ListBullet"/>
        <w:spacing w:after="40"/>
      </w:pPr>
      <w:r>
        <w:t>El precio de lista es aproximado (máximo observado); no hay costos, por lo que no se calcula margen.</w:t>
      </w:r>
    </w:p>
    <w:p>
      <w:pPr>
        <w:pStyle w:val="ListBullet"/>
        <w:spacing w:after="40"/>
      </w:pPr>
      <w:r>
        <w:t>Las metas distintas a ventas son propuestas y deben validarse con el negocio.</w:t>
      </w:r>
    </w:p>
    <w:p>
      <w:pPr>
        <w:pStyle w:val="ListBullet"/>
        <w:spacing w:after="40"/>
      </w:pPr>
      <w:r>
        <w:t>Los clientes “nuevos” de 2018-2019 incluyen a quienes ya compraban antes del 20/09/2018 (inicio de los datos).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