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C1A6" w14:textId="77777777" w:rsidR="00C608D9" w:rsidRDefault="00C608D9" w:rsidP="009D5647">
      <w:pPr>
        <w:spacing w:line="360" w:lineRule="auto"/>
        <w:jc w:val="center"/>
        <w:rPr>
          <w:b/>
          <w:bCs/>
          <w:sz w:val="40"/>
          <w:szCs w:val="40"/>
        </w:rPr>
      </w:pPr>
    </w:p>
    <w:p w14:paraId="26F832B6" w14:textId="77777777" w:rsidR="00C608D9" w:rsidRDefault="00C608D9" w:rsidP="009D5647">
      <w:pPr>
        <w:spacing w:line="360" w:lineRule="auto"/>
        <w:jc w:val="center"/>
        <w:rPr>
          <w:b/>
          <w:bCs/>
          <w:sz w:val="40"/>
          <w:szCs w:val="40"/>
        </w:rPr>
      </w:pPr>
    </w:p>
    <w:p w14:paraId="0D67F8E0" w14:textId="77777777" w:rsidR="00C608D9" w:rsidRDefault="00C608D9" w:rsidP="009D5647">
      <w:pPr>
        <w:spacing w:line="360" w:lineRule="auto"/>
        <w:jc w:val="center"/>
        <w:rPr>
          <w:b/>
          <w:bCs/>
          <w:sz w:val="40"/>
          <w:szCs w:val="40"/>
        </w:rPr>
      </w:pPr>
    </w:p>
    <w:p w14:paraId="290A71AA" w14:textId="77777777" w:rsidR="00C608D9" w:rsidRDefault="00C608D9" w:rsidP="009D5647">
      <w:pPr>
        <w:spacing w:line="360" w:lineRule="auto"/>
        <w:jc w:val="center"/>
        <w:rPr>
          <w:b/>
          <w:bCs/>
          <w:sz w:val="40"/>
          <w:szCs w:val="40"/>
        </w:rPr>
      </w:pPr>
    </w:p>
    <w:p w14:paraId="2053A908" w14:textId="3C20BAAB" w:rsidR="009D5647" w:rsidRDefault="009D5647" w:rsidP="009D5647">
      <w:pPr>
        <w:spacing w:line="360" w:lineRule="auto"/>
        <w:jc w:val="center"/>
        <w:rPr>
          <w:b/>
          <w:bCs/>
          <w:sz w:val="40"/>
          <w:szCs w:val="40"/>
        </w:rPr>
      </w:pPr>
      <w:r w:rsidRPr="0004106C">
        <w:rPr>
          <w:b/>
          <w:bCs/>
          <w:sz w:val="40"/>
          <w:szCs w:val="40"/>
        </w:rPr>
        <w:t xml:space="preserve">Who Are the </w:t>
      </w:r>
      <w:proofErr w:type="spellStart"/>
      <w:r w:rsidRPr="0004106C">
        <w:rPr>
          <w:b/>
          <w:bCs/>
          <w:sz w:val="40"/>
          <w:szCs w:val="40"/>
        </w:rPr>
        <w:t>Fama</w:t>
      </w:r>
      <w:proofErr w:type="spellEnd"/>
      <w:r w:rsidR="009E7221">
        <w:rPr>
          <w:b/>
          <w:bCs/>
          <w:sz w:val="40"/>
          <w:szCs w:val="40"/>
        </w:rPr>
        <w:t>-</w:t>
      </w:r>
      <w:r w:rsidRPr="0004106C">
        <w:rPr>
          <w:b/>
          <w:bCs/>
          <w:sz w:val="40"/>
          <w:szCs w:val="40"/>
        </w:rPr>
        <w:t>French Investors?</w:t>
      </w:r>
    </w:p>
    <w:p w14:paraId="7ABD55CB" w14:textId="1951B053" w:rsidR="00026A78" w:rsidRDefault="00026A78" w:rsidP="009D5647">
      <w:pPr>
        <w:spacing w:line="360" w:lineRule="auto"/>
        <w:jc w:val="center"/>
        <w:rPr>
          <w:b/>
          <w:bCs/>
          <w:sz w:val="30"/>
          <w:szCs w:val="30"/>
        </w:rPr>
      </w:pPr>
      <w:r w:rsidRPr="009E7221">
        <w:rPr>
          <w:b/>
          <w:bCs/>
          <w:sz w:val="30"/>
          <w:szCs w:val="30"/>
        </w:rPr>
        <w:t xml:space="preserve">An empirical study on </w:t>
      </w:r>
      <w:r w:rsidR="009E7221" w:rsidRPr="009E7221">
        <w:rPr>
          <w:b/>
          <w:bCs/>
          <w:sz w:val="30"/>
          <w:szCs w:val="30"/>
        </w:rPr>
        <w:t xml:space="preserve">Dutch </w:t>
      </w:r>
      <w:r w:rsidR="000441EF">
        <w:rPr>
          <w:b/>
          <w:bCs/>
          <w:sz w:val="30"/>
          <w:szCs w:val="30"/>
        </w:rPr>
        <w:t>investors</w:t>
      </w:r>
      <w:r w:rsidR="009E7221" w:rsidRPr="009E7221">
        <w:rPr>
          <w:b/>
          <w:bCs/>
          <w:sz w:val="30"/>
          <w:szCs w:val="30"/>
        </w:rPr>
        <w:t>’ portfolio composition</w:t>
      </w:r>
    </w:p>
    <w:p w14:paraId="7DFE24F5" w14:textId="19DCD2A0" w:rsidR="009E7221" w:rsidRDefault="009E7221" w:rsidP="009D5647">
      <w:pPr>
        <w:spacing w:line="360" w:lineRule="auto"/>
        <w:jc w:val="center"/>
        <w:rPr>
          <w:b/>
          <w:bCs/>
          <w:sz w:val="30"/>
          <w:szCs w:val="30"/>
        </w:rPr>
      </w:pPr>
    </w:p>
    <w:p w14:paraId="7101ED67" w14:textId="30AC1C79" w:rsidR="009E7221" w:rsidRPr="00C836D1" w:rsidRDefault="009E7221" w:rsidP="009E7221">
      <w:pPr>
        <w:spacing w:line="360" w:lineRule="auto"/>
        <w:jc w:val="center"/>
        <w:rPr>
          <w:b/>
          <w:bCs/>
        </w:rPr>
      </w:pPr>
      <w:r w:rsidRPr="00C836D1">
        <w:rPr>
          <w:b/>
          <w:bCs/>
        </w:rPr>
        <w:t>Supervisor:</w:t>
      </w:r>
      <w:r w:rsidR="007E50B4">
        <w:rPr>
          <w:b/>
          <w:bCs/>
        </w:rPr>
        <w:t xml:space="preserve"> Dr.</w:t>
      </w:r>
      <w:r w:rsidRPr="00C836D1">
        <w:rPr>
          <w:b/>
          <w:bCs/>
        </w:rPr>
        <w:t xml:space="preserve"> Jens </w:t>
      </w:r>
      <w:proofErr w:type="spellStart"/>
      <w:r w:rsidRPr="00C836D1">
        <w:rPr>
          <w:b/>
          <w:bCs/>
        </w:rPr>
        <w:t>Sørlie</w:t>
      </w:r>
      <w:proofErr w:type="spellEnd"/>
      <w:r w:rsidRPr="00C836D1">
        <w:rPr>
          <w:b/>
          <w:bCs/>
        </w:rPr>
        <w:t xml:space="preserve"> </w:t>
      </w:r>
      <w:proofErr w:type="spellStart"/>
      <w:r w:rsidRPr="00C836D1">
        <w:rPr>
          <w:b/>
          <w:bCs/>
        </w:rPr>
        <w:t>Kværner</w:t>
      </w:r>
      <w:proofErr w:type="spellEnd"/>
    </w:p>
    <w:p w14:paraId="47891546" w14:textId="77777777" w:rsidR="009E7221" w:rsidRPr="009E7221" w:rsidRDefault="009E7221" w:rsidP="009D5647">
      <w:pPr>
        <w:spacing w:line="360" w:lineRule="auto"/>
        <w:jc w:val="center"/>
        <w:rPr>
          <w:b/>
          <w:bCs/>
          <w:sz w:val="30"/>
          <w:szCs w:val="30"/>
        </w:rPr>
      </w:pPr>
    </w:p>
    <w:p w14:paraId="36FA1580" w14:textId="0E688550" w:rsidR="009F782E" w:rsidRPr="00730F3F" w:rsidRDefault="009D5647" w:rsidP="009D5647">
      <w:pPr>
        <w:spacing w:line="360" w:lineRule="auto"/>
        <w:jc w:val="center"/>
        <w:rPr>
          <w:b/>
          <w:bCs/>
          <w:sz w:val="32"/>
          <w:szCs w:val="32"/>
        </w:rPr>
      </w:pPr>
      <w:r w:rsidRPr="00730F3F">
        <w:rPr>
          <w:b/>
          <w:bCs/>
        </w:rPr>
        <w:t xml:space="preserve"> </w:t>
      </w:r>
    </w:p>
    <w:p w14:paraId="5C3DF59D" w14:textId="13D56F7F" w:rsidR="00C608D9" w:rsidRDefault="00C608D9" w:rsidP="009D5647">
      <w:pPr>
        <w:spacing w:line="360" w:lineRule="auto"/>
        <w:jc w:val="center"/>
        <w:rPr>
          <w:b/>
          <w:bCs/>
          <w:sz w:val="32"/>
          <w:szCs w:val="32"/>
        </w:rPr>
      </w:pPr>
    </w:p>
    <w:p w14:paraId="7E230F49" w14:textId="220E4D8C" w:rsidR="009E7221" w:rsidRDefault="009E7221" w:rsidP="009D5647">
      <w:pPr>
        <w:spacing w:line="360" w:lineRule="auto"/>
        <w:jc w:val="center"/>
        <w:rPr>
          <w:b/>
          <w:bCs/>
          <w:sz w:val="32"/>
          <w:szCs w:val="32"/>
        </w:rPr>
      </w:pPr>
    </w:p>
    <w:p w14:paraId="070B9E57" w14:textId="63C62A7F" w:rsidR="009E7221" w:rsidRDefault="009E7221" w:rsidP="009D5647">
      <w:pPr>
        <w:spacing w:line="360" w:lineRule="auto"/>
        <w:jc w:val="center"/>
        <w:rPr>
          <w:b/>
          <w:bCs/>
          <w:sz w:val="32"/>
          <w:szCs w:val="32"/>
        </w:rPr>
      </w:pPr>
    </w:p>
    <w:p w14:paraId="4459417F" w14:textId="2F328C8A" w:rsidR="009E7221" w:rsidRDefault="009E7221" w:rsidP="009D5647">
      <w:pPr>
        <w:spacing w:line="360" w:lineRule="auto"/>
        <w:jc w:val="center"/>
        <w:rPr>
          <w:b/>
          <w:bCs/>
          <w:sz w:val="32"/>
          <w:szCs w:val="32"/>
        </w:rPr>
      </w:pPr>
    </w:p>
    <w:p w14:paraId="41465716" w14:textId="4287AF60" w:rsidR="009E7221" w:rsidRDefault="009E7221" w:rsidP="009D5647">
      <w:pPr>
        <w:spacing w:line="360" w:lineRule="auto"/>
        <w:jc w:val="center"/>
        <w:rPr>
          <w:b/>
          <w:bCs/>
          <w:sz w:val="32"/>
          <w:szCs w:val="32"/>
        </w:rPr>
      </w:pPr>
    </w:p>
    <w:p w14:paraId="6A5FBB2E" w14:textId="759CD496" w:rsidR="009E7221" w:rsidRDefault="009E7221" w:rsidP="009D5647">
      <w:pPr>
        <w:spacing w:line="360" w:lineRule="auto"/>
        <w:jc w:val="center"/>
        <w:rPr>
          <w:b/>
          <w:bCs/>
          <w:sz w:val="32"/>
          <w:szCs w:val="32"/>
        </w:rPr>
      </w:pPr>
    </w:p>
    <w:p w14:paraId="1C946885" w14:textId="77777777" w:rsidR="009E7221" w:rsidRPr="00730F3F" w:rsidRDefault="009E7221" w:rsidP="009D5647">
      <w:pPr>
        <w:spacing w:line="360" w:lineRule="auto"/>
        <w:jc w:val="center"/>
        <w:rPr>
          <w:b/>
          <w:bCs/>
          <w:sz w:val="32"/>
          <w:szCs w:val="32"/>
        </w:rPr>
      </w:pPr>
    </w:p>
    <w:p w14:paraId="0AF5AEAD" w14:textId="71FD737D" w:rsidR="009D5647" w:rsidRDefault="009D5647" w:rsidP="009D5647">
      <w:pPr>
        <w:spacing w:line="360" w:lineRule="auto"/>
        <w:jc w:val="center"/>
        <w:rPr>
          <w:b/>
          <w:bCs/>
        </w:rPr>
      </w:pPr>
    </w:p>
    <w:p w14:paraId="234471FB" w14:textId="77777777" w:rsidR="009E7221" w:rsidRPr="00730F3F" w:rsidRDefault="009E7221" w:rsidP="009D5647">
      <w:pPr>
        <w:spacing w:line="360" w:lineRule="auto"/>
        <w:jc w:val="center"/>
        <w:rPr>
          <w:b/>
          <w:bCs/>
        </w:rPr>
      </w:pPr>
    </w:p>
    <w:p w14:paraId="6C58077C" w14:textId="77777777" w:rsidR="007D3DF5" w:rsidRDefault="009D5647" w:rsidP="009D5647">
      <w:pPr>
        <w:spacing w:line="360" w:lineRule="auto"/>
        <w:jc w:val="center"/>
        <w:rPr>
          <w:b/>
          <w:bCs/>
        </w:rPr>
      </w:pPr>
      <w:r w:rsidRPr="00C836D1">
        <w:rPr>
          <w:b/>
          <w:bCs/>
        </w:rPr>
        <w:t xml:space="preserve">Juan </w:t>
      </w:r>
      <w:proofErr w:type="spellStart"/>
      <w:r w:rsidRPr="00C836D1">
        <w:rPr>
          <w:b/>
          <w:bCs/>
        </w:rPr>
        <w:t>Berasategui</w:t>
      </w:r>
      <w:proofErr w:type="spellEnd"/>
      <w:r w:rsidRPr="00C836D1">
        <w:rPr>
          <w:b/>
          <w:bCs/>
        </w:rPr>
        <w:t xml:space="preserve"> Gallego</w:t>
      </w:r>
    </w:p>
    <w:p w14:paraId="010C4D89" w14:textId="60BA7644" w:rsidR="009D5647" w:rsidRPr="00C836D1" w:rsidRDefault="007D3DF5" w:rsidP="009D5647">
      <w:pPr>
        <w:spacing w:line="360" w:lineRule="auto"/>
        <w:jc w:val="center"/>
        <w:rPr>
          <w:b/>
          <w:bCs/>
        </w:rPr>
      </w:pPr>
      <w:r w:rsidRPr="007D3DF5">
        <w:t>ANR</w:t>
      </w:r>
      <w:r>
        <w:rPr>
          <w:b/>
          <w:bCs/>
        </w:rPr>
        <w:t>:</w:t>
      </w:r>
      <w:proofErr w:type="gramStart"/>
      <w:r w:rsidR="009D5647" w:rsidRPr="00C836D1">
        <w:rPr>
          <w:b/>
          <w:bCs/>
        </w:rPr>
        <w:t>4</w:t>
      </w:r>
      <w:r w:rsidR="0004106C" w:rsidRPr="00C836D1">
        <w:rPr>
          <w:b/>
          <w:bCs/>
        </w:rPr>
        <w:t>58722</w:t>
      </w:r>
      <w:r>
        <w:rPr>
          <w:b/>
          <w:bCs/>
        </w:rPr>
        <w:t xml:space="preserve">  </w:t>
      </w:r>
      <w:r w:rsidRPr="007D3DF5">
        <w:t>SNR</w:t>
      </w:r>
      <w:proofErr w:type="gramEnd"/>
      <w:r>
        <w:rPr>
          <w:b/>
          <w:bCs/>
        </w:rPr>
        <w:t>: 2038913</w:t>
      </w:r>
    </w:p>
    <w:p w14:paraId="2321DE20" w14:textId="7B335F5A" w:rsidR="0004106C" w:rsidRDefault="0004106C" w:rsidP="009D5647">
      <w:pPr>
        <w:spacing w:line="360" w:lineRule="auto"/>
        <w:jc w:val="center"/>
        <w:rPr>
          <w:b/>
          <w:bCs/>
        </w:rPr>
      </w:pPr>
      <w:r w:rsidRPr="0004106C">
        <w:rPr>
          <w:b/>
          <w:bCs/>
        </w:rPr>
        <w:t xml:space="preserve">Tilburg School </w:t>
      </w:r>
      <w:r>
        <w:rPr>
          <w:b/>
          <w:bCs/>
        </w:rPr>
        <w:t>of Economics and Management</w:t>
      </w:r>
    </w:p>
    <w:p w14:paraId="7CDDF76D" w14:textId="77777777" w:rsidR="0004106C" w:rsidRDefault="0004106C" w:rsidP="009D5647">
      <w:pPr>
        <w:spacing w:line="360" w:lineRule="auto"/>
        <w:jc w:val="center"/>
        <w:rPr>
          <w:b/>
          <w:bCs/>
        </w:rPr>
      </w:pPr>
    </w:p>
    <w:p w14:paraId="68557B07" w14:textId="5DAFEED1" w:rsidR="0004106C" w:rsidRDefault="0004106C" w:rsidP="000E3083">
      <w:pPr>
        <w:spacing w:line="360" w:lineRule="auto"/>
        <w:jc w:val="center"/>
        <w:rPr>
          <w:b/>
          <w:bCs/>
        </w:rPr>
      </w:pPr>
      <w:r>
        <w:rPr>
          <w:b/>
          <w:bCs/>
        </w:rPr>
        <w:t>May 2022</w:t>
      </w:r>
    </w:p>
    <w:p w14:paraId="5731CF6A" w14:textId="4169AD01" w:rsidR="00C608D9" w:rsidRDefault="0004106C" w:rsidP="009E7221">
      <w:pPr>
        <w:spacing w:line="360" w:lineRule="auto"/>
        <w:jc w:val="center"/>
      </w:pPr>
      <w:r>
        <w:rPr>
          <w:b/>
          <w:bCs/>
        </w:rPr>
        <w:t xml:space="preserve">Number of Words: </w:t>
      </w:r>
      <w:r w:rsidR="001C3F09">
        <w:t>7</w:t>
      </w:r>
      <w:r w:rsidR="000E3083">
        <w:t>011</w:t>
      </w:r>
    </w:p>
    <w:p w14:paraId="0E1EDA7B" w14:textId="50B04F5D" w:rsidR="000E3083" w:rsidRDefault="000E3083" w:rsidP="009E7221">
      <w:pPr>
        <w:spacing w:line="360" w:lineRule="auto"/>
        <w:jc w:val="center"/>
      </w:pPr>
    </w:p>
    <w:p w14:paraId="16E182D9" w14:textId="77777777" w:rsidR="000E3083" w:rsidRDefault="000E3083" w:rsidP="009E7221">
      <w:pPr>
        <w:spacing w:line="360" w:lineRule="auto"/>
        <w:jc w:val="center"/>
        <w:rPr>
          <w:b/>
          <w:bCs/>
        </w:rPr>
      </w:pPr>
    </w:p>
    <w:p w14:paraId="644A278C" w14:textId="3D05343E" w:rsidR="00C608D9" w:rsidRDefault="00C608D9" w:rsidP="00C608D9">
      <w:pPr>
        <w:spacing w:line="360" w:lineRule="auto"/>
        <w:rPr>
          <w:b/>
          <w:bCs/>
        </w:rPr>
      </w:pPr>
      <w:r>
        <w:rPr>
          <w:b/>
          <w:bCs/>
        </w:rPr>
        <w:lastRenderedPageBreak/>
        <w:t>Abstract</w:t>
      </w:r>
    </w:p>
    <w:p w14:paraId="3755BD3F" w14:textId="57697BF0" w:rsidR="00931C24" w:rsidRDefault="00B16C61" w:rsidP="00C608D9">
      <w:pPr>
        <w:spacing w:line="360" w:lineRule="auto"/>
        <w:rPr>
          <w:b/>
          <w:bCs/>
        </w:rPr>
      </w:pPr>
      <w:r>
        <w:t xml:space="preserve">This study researches the association between investors characteristics and their propensity to invest in the long leg of the </w:t>
      </w:r>
      <w:proofErr w:type="spellStart"/>
      <w:r>
        <w:t>Fama</w:t>
      </w:r>
      <w:proofErr w:type="spellEnd"/>
      <w:r>
        <w:t>-French five factor model</w:t>
      </w:r>
      <w:r w:rsidR="005907BA">
        <w:t xml:space="preserve"> based on their risk taking and risk bearing capacity</w:t>
      </w:r>
      <w:r>
        <w:t xml:space="preserve">, using data from the DNB Household Survey. We show that wealthy, older, university-educated women, who </w:t>
      </w:r>
      <w:r w:rsidR="006F64C3">
        <w:t>do not own</w:t>
      </w:r>
      <w:r>
        <w:t xml:space="preserve"> their accommodation</w:t>
      </w:r>
      <w:r w:rsidR="00C90D1E">
        <w:t>,</w:t>
      </w:r>
      <w:r>
        <w:t xml:space="preserve"> </w:t>
      </w:r>
      <w:r w:rsidR="006F64C3">
        <w:t>overweight their portfolios towards the long leg. Furthermore, the results are consistent with the portfolio composition, wealth</w:t>
      </w:r>
      <w:r w:rsidR="009B0126">
        <w:t xml:space="preserve">, </w:t>
      </w:r>
      <w:r w:rsidR="006F64C3">
        <w:t>and age, risk-bearing theories.</w:t>
      </w:r>
      <w:r w:rsidR="009B0126">
        <w:t xml:space="preserve"> Lastly, we discuss the implications of the results for the </w:t>
      </w:r>
      <w:r w:rsidR="00E148D4">
        <w:t>policy makers and the asset management industry</w:t>
      </w:r>
      <w:r w:rsidR="009B0126">
        <w:t>.</w:t>
      </w:r>
    </w:p>
    <w:p w14:paraId="3F53B92C" w14:textId="070CD308" w:rsidR="00C608D9" w:rsidRDefault="00C608D9" w:rsidP="00C608D9">
      <w:pPr>
        <w:spacing w:line="360" w:lineRule="auto"/>
        <w:rPr>
          <w:b/>
          <w:bCs/>
        </w:rPr>
      </w:pPr>
    </w:p>
    <w:p w14:paraId="12088A63" w14:textId="6CB1BF72" w:rsidR="00C608D9" w:rsidRDefault="00C608D9" w:rsidP="00C608D9">
      <w:pPr>
        <w:spacing w:line="360" w:lineRule="auto"/>
        <w:rPr>
          <w:b/>
          <w:bCs/>
        </w:rPr>
      </w:pPr>
    </w:p>
    <w:p w14:paraId="7A0A5D30" w14:textId="7AA6067A" w:rsidR="00C608D9" w:rsidRDefault="00C608D9" w:rsidP="00C608D9">
      <w:pPr>
        <w:spacing w:line="360" w:lineRule="auto"/>
        <w:rPr>
          <w:b/>
          <w:bCs/>
        </w:rPr>
      </w:pPr>
    </w:p>
    <w:p w14:paraId="4E5362E4" w14:textId="7005A64F" w:rsidR="00C608D9" w:rsidRDefault="00C608D9" w:rsidP="00C608D9">
      <w:pPr>
        <w:spacing w:line="360" w:lineRule="auto"/>
        <w:rPr>
          <w:b/>
          <w:bCs/>
        </w:rPr>
      </w:pPr>
    </w:p>
    <w:p w14:paraId="23CA0A9B" w14:textId="190590FC" w:rsidR="00C608D9" w:rsidRDefault="00C608D9" w:rsidP="00C608D9">
      <w:pPr>
        <w:spacing w:line="360" w:lineRule="auto"/>
        <w:rPr>
          <w:b/>
          <w:bCs/>
        </w:rPr>
      </w:pPr>
    </w:p>
    <w:p w14:paraId="0597E1A0" w14:textId="2EB774F1" w:rsidR="00C608D9" w:rsidRDefault="00C608D9" w:rsidP="00C608D9">
      <w:pPr>
        <w:spacing w:line="360" w:lineRule="auto"/>
        <w:rPr>
          <w:b/>
          <w:bCs/>
        </w:rPr>
      </w:pPr>
    </w:p>
    <w:p w14:paraId="4F0E15C5" w14:textId="6A6606B2" w:rsidR="00C608D9" w:rsidRDefault="00C608D9" w:rsidP="00C608D9">
      <w:pPr>
        <w:spacing w:line="360" w:lineRule="auto"/>
        <w:rPr>
          <w:b/>
          <w:bCs/>
        </w:rPr>
      </w:pPr>
    </w:p>
    <w:p w14:paraId="671BDC96" w14:textId="32EA6559" w:rsidR="00C608D9" w:rsidRDefault="00C608D9" w:rsidP="00C608D9">
      <w:pPr>
        <w:spacing w:line="360" w:lineRule="auto"/>
        <w:rPr>
          <w:b/>
          <w:bCs/>
        </w:rPr>
      </w:pPr>
    </w:p>
    <w:p w14:paraId="653ECEA9" w14:textId="3F1F9CCE" w:rsidR="00C608D9" w:rsidRPr="007C151B" w:rsidRDefault="007C151B" w:rsidP="00C608D9">
      <w:pPr>
        <w:spacing w:line="360" w:lineRule="auto"/>
      </w:pPr>
      <w:r>
        <w:rPr>
          <w:b/>
          <w:bCs/>
        </w:rPr>
        <w:t xml:space="preserve">Key words: </w:t>
      </w:r>
      <w:r>
        <w:t>Behavioral finance, investor profiling,</w:t>
      </w:r>
      <w:r w:rsidR="00A11755">
        <w:t xml:space="preserve"> </w:t>
      </w:r>
      <w:r w:rsidR="008355AC">
        <w:t>risk bearing capacity, risk tolerance</w:t>
      </w:r>
      <w:r w:rsidR="00A11755">
        <w:t>,</w:t>
      </w:r>
      <w:r>
        <w:t xml:space="preserve"> </w:t>
      </w:r>
      <w:proofErr w:type="spellStart"/>
      <w:r>
        <w:t>Fama</w:t>
      </w:r>
      <w:proofErr w:type="spellEnd"/>
      <w:r w:rsidR="00A11755">
        <w:t>-French model, gender, The Netherlands</w:t>
      </w:r>
      <w:r w:rsidR="00843ADB">
        <w:t>, asset management.</w:t>
      </w:r>
    </w:p>
    <w:p w14:paraId="3654A96E" w14:textId="68F49F60" w:rsidR="00C608D9" w:rsidRDefault="00C608D9" w:rsidP="00C608D9">
      <w:pPr>
        <w:spacing w:line="360" w:lineRule="auto"/>
        <w:rPr>
          <w:b/>
          <w:bCs/>
        </w:rPr>
      </w:pPr>
    </w:p>
    <w:p w14:paraId="0B930B7B" w14:textId="232C2CDA" w:rsidR="00C608D9" w:rsidRDefault="00C608D9" w:rsidP="00C608D9">
      <w:pPr>
        <w:spacing w:line="360" w:lineRule="auto"/>
        <w:rPr>
          <w:b/>
          <w:bCs/>
        </w:rPr>
      </w:pPr>
    </w:p>
    <w:p w14:paraId="70C15F64" w14:textId="45756202" w:rsidR="00C608D9" w:rsidRDefault="00C608D9" w:rsidP="00C608D9">
      <w:pPr>
        <w:spacing w:line="360" w:lineRule="auto"/>
        <w:rPr>
          <w:b/>
          <w:bCs/>
        </w:rPr>
      </w:pPr>
    </w:p>
    <w:p w14:paraId="433DC91C" w14:textId="3458FD9B" w:rsidR="00C608D9" w:rsidRDefault="00C608D9" w:rsidP="00C608D9">
      <w:pPr>
        <w:spacing w:line="360" w:lineRule="auto"/>
        <w:rPr>
          <w:b/>
          <w:bCs/>
        </w:rPr>
      </w:pPr>
    </w:p>
    <w:p w14:paraId="5505F342" w14:textId="6051FD8C" w:rsidR="00C608D9" w:rsidRDefault="00C608D9" w:rsidP="00C608D9">
      <w:pPr>
        <w:spacing w:line="360" w:lineRule="auto"/>
        <w:rPr>
          <w:b/>
          <w:bCs/>
        </w:rPr>
      </w:pPr>
    </w:p>
    <w:p w14:paraId="4478C424" w14:textId="68098293" w:rsidR="00C608D9" w:rsidRDefault="00C608D9" w:rsidP="00C608D9">
      <w:pPr>
        <w:spacing w:line="360" w:lineRule="auto"/>
        <w:rPr>
          <w:b/>
          <w:bCs/>
        </w:rPr>
      </w:pPr>
    </w:p>
    <w:p w14:paraId="4FE33803" w14:textId="5AE8B988" w:rsidR="00C608D9" w:rsidRDefault="00C608D9" w:rsidP="00C608D9">
      <w:pPr>
        <w:spacing w:line="360" w:lineRule="auto"/>
        <w:rPr>
          <w:b/>
          <w:bCs/>
        </w:rPr>
      </w:pPr>
    </w:p>
    <w:p w14:paraId="2D228C92" w14:textId="217781AD" w:rsidR="00C608D9" w:rsidRDefault="00C608D9" w:rsidP="00C608D9">
      <w:pPr>
        <w:spacing w:line="360" w:lineRule="auto"/>
        <w:rPr>
          <w:b/>
          <w:bCs/>
        </w:rPr>
      </w:pPr>
    </w:p>
    <w:p w14:paraId="00B68C03" w14:textId="76261179" w:rsidR="00C608D9" w:rsidRDefault="00C608D9" w:rsidP="00C608D9">
      <w:pPr>
        <w:spacing w:line="360" w:lineRule="auto"/>
        <w:rPr>
          <w:b/>
          <w:bCs/>
        </w:rPr>
      </w:pPr>
    </w:p>
    <w:p w14:paraId="2D794C9D" w14:textId="217CF994" w:rsidR="00C608D9" w:rsidRDefault="00C608D9" w:rsidP="00C608D9">
      <w:pPr>
        <w:spacing w:line="360" w:lineRule="auto"/>
        <w:rPr>
          <w:b/>
          <w:bCs/>
        </w:rPr>
      </w:pPr>
    </w:p>
    <w:p w14:paraId="30568F80" w14:textId="7ACEB40D" w:rsidR="00C608D9" w:rsidRDefault="00C608D9" w:rsidP="00C608D9">
      <w:pPr>
        <w:spacing w:line="360" w:lineRule="auto"/>
        <w:rPr>
          <w:b/>
          <w:bCs/>
        </w:rPr>
      </w:pPr>
    </w:p>
    <w:p w14:paraId="66DE5F04" w14:textId="7BF005E0" w:rsidR="009B0126" w:rsidRDefault="009B0126" w:rsidP="00C608D9">
      <w:pPr>
        <w:spacing w:line="360" w:lineRule="auto"/>
        <w:rPr>
          <w:b/>
          <w:bCs/>
        </w:rPr>
      </w:pPr>
    </w:p>
    <w:p w14:paraId="421E5205" w14:textId="77777777" w:rsidR="009B0126" w:rsidRDefault="009B0126" w:rsidP="00C608D9">
      <w:pPr>
        <w:spacing w:line="360" w:lineRule="auto"/>
        <w:rPr>
          <w:b/>
          <w:bCs/>
        </w:rPr>
      </w:pPr>
    </w:p>
    <w:p w14:paraId="41092636" w14:textId="170BC6CD" w:rsidR="00C608D9" w:rsidRDefault="00C608D9" w:rsidP="00C608D9">
      <w:pPr>
        <w:spacing w:line="360" w:lineRule="auto"/>
        <w:rPr>
          <w:b/>
          <w:bCs/>
        </w:rPr>
      </w:pPr>
    </w:p>
    <w:p w14:paraId="4634F237" w14:textId="783CF740" w:rsidR="00B40752" w:rsidRPr="000F7229" w:rsidRDefault="00B40752" w:rsidP="00B40752">
      <w:pPr>
        <w:spacing w:line="360" w:lineRule="auto"/>
        <w:rPr>
          <w:b/>
          <w:bCs/>
        </w:rPr>
      </w:pPr>
    </w:p>
    <w:p w14:paraId="45A6876E" w14:textId="77777777" w:rsidR="00944A17" w:rsidRDefault="00944A17" w:rsidP="00C608D9">
      <w:pPr>
        <w:spacing w:line="360" w:lineRule="auto"/>
        <w:rPr>
          <w:b/>
          <w:bCs/>
          <w:u w:val="single"/>
        </w:rPr>
      </w:pPr>
    </w:p>
    <w:bookmarkStart w:id="0" w:name="_Toc102301198" w:displacedByCustomXml="next"/>
    <w:bookmarkStart w:id="1" w:name="_Toc102300791" w:displacedByCustomXml="next"/>
    <w:sdt>
      <w:sdtPr>
        <w:rPr>
          <w:rFonts w:ascii="Times New Roman" w:eastAsia="Times New Roman" w:hAnsi="Times New Roman" w:cs="Times New Roman"/>
          <w:b w:val="0"/>
          <w:bCs w:val="0"/>
          <w:color w:val="auto"/>
          <w:sz w:val="24"/>
          <w:szCs w:val="24"/>
          <w:lang w:eastAsia="en-GB"/>
        </w:rPr>
        <w:id w:val="-1490007390"/>
        <w:docPartObj>
          <w:docPartGallery w:val="Table of Contents"/>
          <w:docPartUnique/>
        </w:docPartObj>
      </w:sdtPr>
      <w:sdtEndPr>
        <w:rPr>
          <w:noProof/>
        </w:rPr>
      </w:sdtEndPr>
      <w:sdtContent>
        <w:p w14:paraId="01C1F1CD" w14:textId="691B33A2" w:rsidR="00B6760D" w:rsidRPr="00B44956" w:rsidRDefault="00B6760D">
          <w:pPr>
            <w:pStyle w:val="TOCHeading"/>
            <w:rPr>
              <w:rFonts w:ascii="Times New Roman" w:hAnsi="Times New Roman" w:cs="Times New Roman"/>
              <w:i/>
              <w:iCs/>
              <w:color w:val="auto"/>
              <w:sz w:val="24"/>
              <w:szCs w:val="24"/>
              <w:u w:val="single"/>
            </w:rPr>
          </w:pPr>
          <w:r w:rsidRPr="00B44956">
            <w:rPr>
              <w:rFonts w:ascii="Times New Roman" w:hAnsi="Times New Roman" w:cs="Times New Roman"/>
              <w:i/>
              <w:iCs/>
              <w:color w:val="auto"/>
              <w:sz w:val="24"/>
              <w:szCs w:val="24"/>
              <w:u w:val="single"/>
            </w:rPr>
            <w:t>Table of Contents</w:t>
          </w:r>
        </w:p>
        <w:p w14:paraId="4A98CDEE" w14:textId="42981AAB" w:rsidR="00B44956" w:rsidRPr="00B44956" w:rsidRDefault="00B6760D">
          <w:pPr>
            <w:pStyle w:val="TOC1"/>
            <w:tabs>
              <w:tab w:val="right" w:leader="dot" w:pos="9016"/>
            </w:tabs>
            <w:rPr>
              <w:rFonts w:ascii="Times New Roman" w:eastAsiaTheme="minorEastAsia" w:hAnsi="Times New Roman" w:cs="Times New Roman"/>
              <w:i w:val="0"/>
              <w:iCs w:val="0"/>
              <w:noProof/>
              <w:lang w:eastAsia="en-US"/>
            </w:rPr>
          </w:pPr>
          <w:r w:rsidRPr="00B44956">
            <w:rPr>
              <w:rFonts w:ascii="Times New Roman" w:hAnsi="Times New Roman" w:cs="Times New Roman"/>
            </w:rPr>
            <w:fldChar w:fldCharType="begin"/>
          </w:r>
          <w:r w:rsidRPr="00B44956">
            <w:rPr>
              <w:rFonts w:ascii="Times New Roman" w:hAnsi="Times New Roman" w:cs="Times New Roman"/>
            </w:rPr>
            <w:instrText xml:space="preserve"> TOC \o "1-3" \h \z \u </w:instrText>
          </w:r>
          <w:r w:rsidRPr="00B44956">
            <w:rPr>
              <w:rFonts w:ascii="Times New Roman" w:hAnsi="Times New Roman" w:cs="Times New Roman"/>
            </w:rPr>
            <w:fldChar w:fldCharType="separate"/>
          </w:r>
          <w:hyperlink w:anchor="_Toc103963040" w:history="1">
            <w:r w:rsidR="00B44956" w:rsidRPr="00B44956">
              <w:rPr>
                <w:rStyle w:val="Hyperlink"/>
                <w:rFonts w:ascii="Times New Roman" w:hAnsi="Times New Roman" w:cs="Times New Roman"/>
                <w:noProof/>
              </w:rPr>
              <w:t>1. Introduction</w:t>
            </w:r>
            <w:r w:rsidR="00B44956" w:rsidRPr="00B44956">
              <w:rPr>
                <w:rFonts w:ascii="Times New Roman" w:hAnsi="Times New Roman" w:cs="Times New Roman"/>
                <w:noProof/>
                <w:webHidden/>
              </w:rPr>
              <w:tab/>
            </w:r>
            <w:r w:rsidR="00B44956" w:rsidRPr="00B44956">
              <w:rPr>
                <w:rFonts w:ascii="Times New Roman" w:hAnsi="Times New Roman" w:cs="Times New Roman"/>
                <w:noProof/>
                <w:webHidden/>
              </w:rPr>
              <w:fldChar w:fldCharType="begin"/>
            </w:r>
            <w:r w:rsidR="00B44956" w:rsidRPr="00B44956">
              <w:rPr>
                <w:rFonts w:ascii="Times New Roman" w:hAnsi="Times New Roman" w:cs="Times New Roman"/>
                <w:noProof/>
                <w:webHidden/>
              </w:rPr>
              <w:instrText xml:space="preserve"> PAGEREF _Toc103963040 \h </w:instrText>
            </w:r>
            <w:r w:rsidR="00B44956" w:rsidRPr="00B44956">
              <w:rPr>
                <w:rFonts w:ascii="Times New Roman" w:hAnsi="Times New Roman" w:cs="Times New Roman"/>
                <w:noProof/>
                <w:webHidden/>
              </w:rPr>
            </w:r>
            <w:r w:rsidR="00B44956" w:rsidRPr="00B44956">
              <w:rPr>
                <w:rFonts w:ascii="Times New Roman" w:hAnsi="Times New Roman" w:cs="Times New Roman"/>
                <w:noProof/>
                <w:webHidden/>
              </w:rPr>
              <w:fldChar w:fldCharType="separate"/>
            </w:r>
            <w:r w:rsidR="00483D98">
              <w:rPr>
                <w:rFonts w:ascii="Times New Roman" w:hAnsi="Times New Roman" w:cs="Times New Roman"/>
                <w:noProof/>
                <w:webHidden/>
              </w:rPr>
              <w:t>4</w:t>
            </w:r>
            <w:r w:rsidR="00B44956" w:rsidRPr="00B44956">
              <w:rPr>
                <w:rFonts w:ascii="Times New Roman" w:hAnsi="Times New Roman" w:cs="Times New Roman"/>
                <w:noProof/>
                <w:webHidden/>
              </w:rPr>
              <w:fldChar w:fldCharType="end"/>
            </w:r>
          </w:hyperlink>
        </w:p>
        <w:p w14:paraId="63210371" w14:textId="28D9F344" w:rsidR="00B44956" w:rsidRPr="00B44956" w:rsidRDefault="00D808CD">
          <w:pPr>
            <w:pStyle w:val="TOC1"/>
            <w:tabs>
              <w:tab w:val="right" w:leader="dot" w:pos="9016"/>
            </w:tabs>
            <w:rPr>
              <w:rFonts w:ascii="Times New Roman" w:eastAsiaTheme="minorEastAsia" w:hAnsi="Times New Roman" w:cs="Times New Roman"/>
              <w:i w:val="0"/>
              <w:iCs w:val="0"/>
              <w:noProof/>
              <w:lang w:eastAsia="en-US"/>
            </w:rPr>
          </w:pPr>
          <w:hyperlink w:anchor="_Toc103963041" w:history="1">
            <w:r w:rsidR="00B44956" w:rsidRPr="00B44956">
              <w:rPr>
                <w:rStyle w:val="Hyperlink"/>
                <w:rFonts w:ascii="Times New Roman" w:hAnsi="Times New Roman" w:cs="Times New Roman"/>
                <w:noProof/>
              </w:rPr>
              <w:t>2. Hypothesis Development</w:t>
            </w:r>
            <w:r w:rsidR="00B44956" w:rsidRPr="00B44956">
              <w:rPr>
                <w:rFonts w:ascii="Times New Roman" w:hAnsi="Times New Roman" w:cs="Times New Roman"/>
                <w:noProof/>
                <w:webHidden/>
              </w:rPr>
              <w:tab/>
            </w:r>
            <w:r w:rsidR="00B44956" w:rsidRPr="00B44956">
              <w:rPr>
                <w:rFonts w:ascii="Times New Roman" w:hAnsi="Times New Roman" w:cs="Times New Roman"/>
                <w:noProof/>
                <w:webHidden/>
              </w:rPr>
              <w:fldChar w:fldCharType="begin"/>
            </w:r>
            <w:r w:rsidR="00B44956" w:rsidRPr="00B44956">
              <w:rPr>
                <w:rFonts w:ascii="Times New Roman" w:hAnsi="Times New Roman" w:cs="Times New Roman"/>
                <w:noProof/>
                <w:webHidden/>
              </w:rPr>
              <w:instrText xml:space="preserve"> PAGEREF _Toc103963041 \h </w:instrText>
            </w:r>
            <w:r w:rsidR="00B44956" w:rsidRPr="00B44956">
              <w:rPr>
                <w:rFonts w:ascii="Times New Roman" w:hAnsi="Times New Roman" w:cs="Times New Roman"/>
                <w:noProof/>
                <w:webHidden/>
              </w:rPr>
            </w:r>
            <w:r w:rsidR="00B44956" w:rsidRPr="00B44956">
              <w:rPr>
                <w:rFonts w:ascii="Times New Roman" w:hAnsi="Times New Roman" w:cs="Times New Roman"/>
                <w:noProof/>
                <w:webHidden/>
              </w:rPr>
              <w:fldChar w:fldCharType="separate"/>
            </w:r>
            <w:r w:rsidR="00483D98">
              <w:rPr>
                <w:rFonts w:ascii="Times New Roman" w:hAnsi="Times New Roman" w:cs="Times New Roman"/>
                <w:noProof/>
                <w:webHidden/>
              </w:rPr>
              <w:t>6</w:t>
            </w:r>
            <w:r w:rsidR="00B44956" w:rsidRPr="00B44956">
              <w:rPr>
                <w:rFonts w:ascii="Times New Roman" w:hAnsi="Times New Roman" w:cs="Times New Roman"/>
                <w:noProof/>
                <w:webHidden/>
              </w:rPr>
              <w:fldChar w:fldCharType="end"/>
            </w:r>
          </w:hyperlink>
        </w:p>
        <w:p w14:paraId="048DFA0B" w14:textId="263E1646"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42" w:history="1">
            <w:r w:rsidR="00B44956" w:rsidRPr="00B44956">
              <w:rPr>
                <w:rStyle w:val="Hyperlink"/>
                <w:rFonts w:ascii="Times New Roman" w:hAnsi="Times New Roman" w:cs="Times New Roman"/>
                <w:noProof/>
                <w:sz w:val="24"/>
                <w:szCs w:val="24"/>
              </w:rPr>
              <w:t>2.1 Fama-French Five Factor Model</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_Toc103963042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6</w:t>
            </w:r>
            <w:r w:rsidR="00B44956" w:rsidRPr="00B44956">
              <w:rPr>
                <w:rFonts w:ascii="Times New Roman" w:hAnsi="Times New Roman" w:cs="Times New Roman"/>
                <w:noProof/>
                <w:webHidden/>
                <w:sz w:val="24"/>
                <w:szCs w:val="24"/>
              </w:rPr>
              <w:fldChar w:fldCharType="end"/>
            </w:r>
          </w:hyperlink>
        </w:p>
        <w:p w14:paraId="55BE325D" w14:textId="2DFAE673"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43" w:history="1">
            <w:r w:rsidR="00B44956" w:rsidRPr="00B44956">
              <w:rPr>
                <w:rStyle w:val="Hyperlink"/>
                <w:rFonts w:ascii="Times New Roman" w:hAnsi="Times New Roman" w:cs="Times New Roman"/>
                <w:noProof/>
                <w:sz w:val="24"/>
                <w:szCs w:val="24"/>
              </w:rPr>
              <w:t>2.2 Variable Description</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_Toc103963043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9</w:t>
            </w:r>
            <w:r w:rsidR="00B44956" w:rsidRPr="00B44956">
              <w:rPr>
                <w:rFonts w:ascii="Times New Roman" w:hAnsi="Times New Roman" w:cs="Times New Roman"/>
                <w:noProof/>
                <w:webHidden/>
                <w:sz w:val="24"/>
                <w:szCs w:val="24"/>
              </w:rPr>
              <w:fldChar w:fldCharType="end"/>
            </w:r>
          </w:hyperlink>
        </w:p>
        <w:p w14:paraId="7C9F06BA" w14:textId="5B0B40EF"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44" w:history="1">
            <w:r w:rsidR="00B44956" w:rsidRPr="00B44956">
              <w:rPr>
                <w:rStyle w:val="Hyperlink"/>
                <w:rFonts w:ascii="Times New Roman" w:hAnsi="Times New Roman" w:cs="Times New Roman"/>
                <w:noProof/>
                <w:sz w:val="24"/>
                <w:szCs w:val="24"/>
              </w:rPr>
              <w:t>2.3 Risk Taking</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_Toc103963044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10</w:t>
            </w:r>
            <w:r w:rsidR="00B44956" w:rsidRPr="00B44956">
              <w:rPr>
                <w:rFonts w:ascii="Times New Roman" w:hAnsi="Times New Roman" w:cs="Times New Roman"/>
                <w:noProof/>
                <w:webHidden/>
                <w:sz w:val="24"/>
                <w:szCs w:val="24"/>
              </w:rPr>
              <w:fldChar w:fldCharType="end"/>
            </w:r>
          </w:hyperlink>
        </w:p>
        <w:p w14:paraId="7BD211D1" w14:textId="3F368CA7"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45" w:history="1">
            <w:r w:rsidR="00B44956" w:rsidRPr="00B44956">
              <w:rPr>
                <w:rStyle w:val="Hyperlink"/>
                <w:rFonts w:ascii="Times New Roman" w:hAnsi="Times New Roman" w:cs="Times New Roman"/>
                <w:noProof/>
                <w:sz w:val="24"/>
                <w:szCs w:val="24"/>
              </w:rPr>
              <w:t>2.4 Risk Bearing Capacity</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_Toc103963045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12</w:t>
            </w:r>
            <w:r w:rsidR="00B44956" w:rsidRPr="00B44956">
              <w:rPr>
                <w:rFonts w:ascii="Times New Roman" w:hAnsi="Times New Roman" w:cs="Times New Roman"/>
                <w:noProof/>
                <w:webHidden/>
                <w:sz w:val="24"/>
                <w:szCs w:val="24"/>
              </w:rPr>
              <w:fldChar w:fldCharType="end"/>
            </w:r>
          </w:hyperlink>
        </w:p>
        <w:p w14:paraId="45026FB1" w14:textId="744C8222" w:rsidR="00B44956" w:rsidRPr="00B44956" w:rsidRDefault="00D808CD">
          <w:pPr>
            <w:pStyle w:val="TOC1"/>
            <w:tabs>
              <w:tab w:val="right" w:leader="dot" w:pos="9016"/>
            </w:tabs>
            <w:rPr>
              <w:rFonts w:ascii="Times New Roman" w:eastAsiaTheme="minorEastAsia" w:hAnsi="Times New Roman" w:cs="Times New Roman"/>
              <w:i w:val="0"/>
              <w:iCs w:val="0"/>
              <w:noProof/>
              <w:lang w:eastAsia="en-US"/>
            </w:rPr>
          </w:pPr>
          <w:hyperlink w:anchor="_Toc103963046" w:history="1">
            <w:r w:rsidR="00B44956" w:rsidRPr="00B44956">
              <w:rPr>
                <w:rStyle w:val="Hyperlink"/>
                <w:rFonts w:ascii="Times New Roman" w:hAnsi="Times New Roman" w:cs="Times New Roman"/>
                <w:noProof/>
              </w:rPr>
              <w:t>3. Methodology</w:t>
            </w:r>
            <w:r w:rsidR="00B44956" w:rsidRPr="00B44956">
              <w:rPr>
                <w:rFonts w:ascii="Times New Roman" w:hAnsi="Times New Roman" w:cs="Times New Roman"/>
                <w:noProof/>
                <w:webHidden/>
              </w:rPr>
              <w:tab/>
            </w:r>
            <w:r w:rsidR="00B44956" w:rsidRPr="00B44956">
              <w:rPr>
                <w:rFonts w:ascii="Times New Roman" w:hAnsi="Times New Roman" w:cs="Times New Roman"/>
                <w:noProof/>
                <w:webHidden/>
              </w:rPr>
              <w:fldChar w:fldCharType="begin"/>
            </w:r>
            <w:r w:rsidR="00B44956" w:rsidRPr="00B44956">
              <w:rPr>
                <w:rFonts w:ascii="Times New Roman" w:hAnsi="Times New Roman" w:cs="Times New Roman"/>
                <w:noProof/>
                <w:webHidden/>
              </w:rPr>
              <w:instrText xml:space="preserve"> PAGEREF _Toc103963046 \h </w:instrText>
            </w:r>
            <w:r w:rsidR="00B44956" w:rsidRPr="00B44956">
              <w:rPr>
                <w:rFonts w:ascii="Times New Roman" w:hAnsi="Times New Roman" w:cs="Times New Roman"/>
                <w:noProof/>
                <w:webHidden/>
              </w:rPr>
            </w:r>
            <w:r w:rsidR="00B44956" w:rsidRPr="00B44956">
              <w:rPr>
                <w:rFonts w:ascii="Times New Roman" w:hAnsi="Times New Roman" w:cs="Times New Roman"/>
                <w:noProof/>
                <w:webHidden/>
              </w:rPr>
              <w:fldChar w:fldCharType="separate"/>
            </w:r>
            <w:r w:rsidR="00483D98">
              <w:rPr>
                <w:rFonts w:ascii="Times New Roman" w:hAnsi="Times New Roman" w:cs="Times New Roman"/>
                <w:noProof/>
                <w:webHidden/>
              </w:rPr>
              <w:t>14</w:t>
            </w:r>
            <w:r w:rsidR="00B44956" w:rsidRPr="00B44956">
              <w:rPr>
                <w:rFonts w:ascii="Times New Roman" w:hAnsi="Times New Roman" w:cs="Times New Roman"/>
                <w:noProof/>
                <w:webHidden/>
              </w:rPr>
              <w:fldChar w:fldCharType="end"/>
            </w:r>
          </w:hyperlink>
        </w:p>
        <w:p w14:paraId="0983C161" w14:textId="6AC99DE6"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47" w:history="1">
            <w:r w:rsidR="00B44956" w:rsidRPr="00B44956">
              <w:rPr>
                <w:rStyle w:val="Hyperlink"/>
                <w:rFonts w:ascii="Times New Roman" w:hAnsi="Times New Roman" w:cs="Times New Roman"/>
                <w:noProof/>
                <w:sz w:val="24"/>
                <w:szCs w:val="24"/>
              </w:rPr>
              <w:t>3.1 Levenshtein Distance</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_Toc103963047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14</w:t>
            </w:r>
            <w:r w:rsidR="00B44956" w:rsidRPr="00B44956">
              <w:rPr>
                <w:rFonts w:ascii="Times New Roman" w:hAnsi="Times New Roman" w:cs="Times New Roman"/>
                <w:noProof/>
                <w:webHidden/>
                <w:sz w:val="24"/>
                <w:szCs w:val="24"/>
              </w:rPr>
              <w:fldChar w:fldCharType="end"/>
            </w:r>
          </w:hyperlink>
        </w:p>
        <w:p w14:paraId="1E9E652E" w14:textId="59505AC7"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48" w:history="1">
            <w:r w:rsidR="00B44956" w:rsidRPr="00B44956">
              <w:rPr>
                <w:rStyle w:val="Hyperlink"/>
                <w:rFonts w:ascii="Times New Roman" w:hAnsi="Times New Roman" w:cs="Times New Roman"/>
                <w:noProof/>
                <w:sz w:val="24"/>
                <w:szCs w:val="24"/>
              </w:rPr>
              <w:t>3.2 Data description</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_Toc103963048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15</w:t>
            </w:r>
            <w:r w:rsidR="00B44956" w:rsidRPr="00B44956">
              <w:rPr>
                <w:rFonts w:ascii="Times New Roman" w:hAnsi="Times New Roman" w:cs="Times New Roman"/>
                <w:noProof/>
                <w:webHidden/>
                <w:sz w:val="24"/>
                <w:szCs w:val="24"/>
              </w:rPr>
              <w:fldChar w:fldCharType="end"/>
            </w:r>
          </w:hyperlink>
        </w:p>
        <w:p w14:paraId="3D9C5F5E" w14:textId="6C297BE7"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49" w:history="1">
            <w:r w:rsidR="00B44956" w:rsidRPr="00B44956">
              <w:rPr>
                <w:rStyle w:val="Hyperlink"/>
                <w:rFonts w:ascii="Times New Roman" w:hAnsi="Times New Roman" w:cs="Times New Roman"/>
                <w:noProof/>
                <w:sz w:val="24"/>
                <w:szCs w:val="24"/>
              </w:rPr>
              <w:t>3.3 Data Analysis Tools</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_Toc103963049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16</w:t>
            </w:r>
            <w:r w:rsidR="00B44956" w:rsidRPr="00B44956">
              <w:rPr>
                <w:rFonts w:ascii="Times New Roman" w:hAnsi="Times New Roman" w:cs="Times New Roman"/>
                <w:noProof/>
                <w:webHidden/>
                <w:sz w:val="24"/>
                <w:szCs w:val="24"/>
              </w:rPr>
              <w:fldChar w:fldCharType="end"/>
            </w:r>
          </w:hyperlink>
        </w:p>
        <w:p w14:paraId="330361D4" w14:textId="5C77C3EC"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0" w:history="1">
            <w:r w:rsidR="00B44956" w:rsidRPr="00B44956">
              <w:rPr>
                <w:rStyle w:val="Hyperlink"/>
                <w:rFonts w:ascii="Times New Roman" w:hAnsi="Times New Roman" w:cs="Times New Roman"/>
                <w:noProof/>
                <w:sz w:val="24"/>
                <w:szCs w:val="24"/>
              </w:rPr>
              <w:t>3.4 Data Preparation</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_Toc103963050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17</w:t>
            </w:r>
            <w:r w:rsidR="00B44956" w:rsidRPr="00B44956">
              <w:rPr>
                <w:rFonts w:ascii="Times New Roman" w:hAnsi="Times New Roman" w:cs="Times New Roman"/>
                <w:noProof/>
                <w:webHidden/>
                <w:sz w:val="24"/>
                <w:szCs w:val="24"/>
              </w:rPr>
              <w:fldChar w:fldCharType="end"/>
            </w:r>
          </w:hyperlink>
        </w:p>
        <w:p w14:paraId="23CCE333" w14:textId="29E91FDF"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1" w:history="1">
            <w:r w:rsidR="00B44956" w:rsidRPr="00B44956">
              <w:rPr>
                <w:rStyle w:val="Hyperlink"/>
                <w:rFonts w:ascii="Times New Roman" w:hAnsi="Times New Roman" w:cs="Times New Roman"/>
                <w:noProof/>
                <w:sz w:val="24"/>
                <w:szCs w:val="24"/>
              </w:rPr>
              <w:t>3.5 Data Analysis</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_Toc103963051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20</w:t>
            </w:r>
            <w:r w:rsidR="00B44956" w:rsidRPr="00B44956">
              <w:rPr>
                <w:rFonts w:ascii="Times New Roman" w:hAnsi="Times New Roman" w:cs="Times New Roman"/>
                <w:noProof/>
                <w:webHidden/>
                <w:sz w:val="24"/>
                <w:szCs w:val="24"/>
              </w:rPr>
              <w:fldChar w:fldCharType="end"/>
            </w:r>
          </w:hyperlink>
        </w:p>
        <w:p w14:paraId="0634E58F" w14:textId="7CBE9659" w:rsidR="00B44956" w:rsidRPr="00B44956" w:rsidRDefault="00D808CD">
          <w:pPr>
            <w:pStyle w:val="TOC1"/>
            <w:tabs>
              <w:tab w:val="right" w:leader="dot" w:pos="9016"/>
            </w:tabs>
            <w:rPr>
              <w:rFonts w:ascii="Times New Roman" w:eastAsiaTheme="minorEastAsia" w:hAnsi="Times New Roman" w:cs="Times New Roman"/>
              <w:i w:val="0"/>
              <w:iCs w:val="0"/>
              <w:noProof/>
              <w:lang w:eastAsia="en-US"/>
            </w:rPr>
          </w:pPr>
          <w:hyperlink w:anchor="_Toc103963052" w:history="1">
            <w:r w:rsidR="00B44956" w:rsidRPr="00B44956">
              <w:rPr>
                <w:rStyle w:val="Hyperlink"/>
                <w:rFonts w:ascii="Times New Roman" w:hAnsi="Times New Roman" w:cs="Times New Roman"/>
                <w:noProof/>
              </w:rPr>
              <w:t>4. Empirical Results</w:t>
            </w:r>
            <w:r w:rsidR="00B44956" w:rsidRPr="00B44956">
              <w:rPr>
                <w:rFonts w:ascii="Times New Roman" w:hAnsi="Times New Roman" w:cs="Times New Roman"/>
                <w:noProof/>
                <w:webHidden/>
              </w:rPr>
              <w:tab/>
            </w:r>
            <w:r w:rsidR="00B44956" w:rsidRPr="00B44956">
              <w:rPr>
                <w:rFonts w:ascii="Times New Roman" w:hAnsi="Times New Roman" w:cs="Times New Roman"/>
                <w:noProof/>
                <w:webHidden/>
              </w:rPr>
              <w:fldChar w:fldCharType="begin"/>
            </w:r>
            <w:r w:rsidR="00B44956" w:rsidRPr="00B44956">
              <w:rPr>
                <w:rFonts w:ascii="Times New Roman" w:hAnsi="Times New Roman" w:cs="Times New Roman"/>
                <w:noProof/>
                <w:webHidden/>
              </w:rPr>
              <w:instrText xml:space="preserve"> PAGEREF _Toc103963052 \h </w:instrText>
            </w:r>
            <w:r w:rsidR="00B44956" w:rsidRPr="00B44956">
              <w:rPr>
                <w:rFonts w:ascii="Times New Roman" w:hAnsi="Times New Roman" w:cs="Times New Roman"/>
                <w:noProof/>
                <w:webHidden/>
              </w:rPr>
            </w:r>
            <w:r w:rsidR="00B44956" w:rsidRPr="00B44956">
              <w:rPr>
                <w:rFonts w:ascii="Times New Roman" w:hAnsi="Times New Roman" w:cs="Times New Roman"/>
                <w:noProof/>
                <w:webHidden/>
              </w:rPr>
              <w:fldChar w:fldCharType="separate"/>
            </w:r>
            <w:r w:rsidR="00483D98">
              <w:rPr>
                <w:rFonts w:ascii="Times New Roman" w:hAnsi="Times New Roman" w:cs="Times New Roman"/>
                <w:noProof/>
                <w:webHidden/>
              </w:rPr>
              <w:t>24</w:t>
            </w:r>
            <w:r w:rsidR="00B44956" w:rsidRPr="00B44956">
              <w:rPr>
                <w:rFonts w:ascii="Times New Roman" w:hAnsi="Times New Roman" w:cs="Times New Roman"/>
                <w:noProof/>
                <w:webHidden/>
              </w:rPr>
              <w:fldChar w:fldCharType="end"/>
            </w:r>
          </w:hyperlink>
        </w:p>
        <w:p w14:paraId="3657641C" w14:textId="6CFADBF6"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3" w:history="1">
            <w:r w:rsidR="00B44956" w:rsidRPr="00B44956">
              <w:rPr>
                <w:rStyle w:val="Hyperlink"/>
                <w:rFonts w:ascii="Times New Roman" w:hAnsi="Times New Roman" w:cs="Times New Roman"/>
                <w:noProof/>
                <w:sz w:val="24"/>
                <w:szCs w:val="24"/>
              </w:rPr>
              <w:t>4.1 SMB Factor</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_Toc103963053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24</w:t>
            </w:r>
            <w:r w:rsidR="00B44956" w:rsidRPr="00B44956">
              <w:rPr>
                <w:rFonts w:ascii="Times New Roman" w:hAnsi="Times New Roman" w:cs="Times New Roman"/>
                <w:noProof/>
                <w:webHidden/>
                <w:sz w:val="24"/>
                <w:szCs w:val="24"/>
              </w:rPr>
              <w:fldChar w:fldCharType="end"/>
            </w:r>
          </w:hyperlink>
        </w:p>
        <w:p w14:paraId="51A852BF" w14:textId="0C0396C1"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4" w:history="1">
            <w:r w:rsidR="00B44956" w:rsidRPr="00B44956">
              <w:rPr>
                <w:rStyle w:val="Hyperlink"/>
                <w:rFonts w:ascii="Times New Roman" w:hAnsi="Times New Roman" w:cs="Times New Roman"/>
                <w:noProof/>
                <w:sz w:val="24"/>
                <w:szCs w:val="24"/>
              </w:rPr>
              <w:t>4.2 HML Factor</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_Toc103963054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25</w:t>
            </w:r>
            <w:r w:rsidR="00B44956" w:rsidRPr="00B44956">
              <w:rPr>
                <w:rFonts w:ascii="Times New Roman" w:hAnsi="Times New Roman" w:cs="Times New Roman"/>
                <w:noProof/>
                <w:webHidden/>
                <w:sz w:val="24"/>
                <w:szCs w:val="24"/>
              </w:rPr>
              <w:fldChar w:fldCharType="end"/>
            </w:r>
          </w:hyperlink>
        </w:p>
        <w:p w14:paraId="417B5BA7" w14:textId="24E101BD"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5" w:history="1">
            <w:r w:rsidR="00B44956" w:rsidRPr="00B44956">
              <w:rPr>
                <w:rStyle w:val="Hyperlink"/>
                <w:rFonts w:ascii="Times New Roman" w:hAnsi="Times New Roman" w:cs="Times New Roman"/>
                <w:noProof/>
                <w:sz w:val="24"/>
                <w:szCs w:val="24"/>
              </w:rPr>
              <w:t>4.3 RMW Factor</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_Toc103963055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26</w:t>
            </w:r>
            <w:r w:rsidR="00B44956" w:rsidRPr="00B44956">
              <w:rPr>
                <w:rFonts w:ascii="Times New Roman" w:hAnsi="Times New Roman" w:cs="Times New Roman"/>
                <w:noProof/>
                <w:webHidden/>
                <w:sz w:val="24"/>
                <w:szCs w:val="24"/>
              </w:rPr>
              <w:fldChar w:fldCharType="end"/>
            </w:r>
          </w:hyperlink>
        </w:p>
        <w:p w14:paraId="3477EF95" w14:textId="6218C951"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6" w:history="1">
            <w:r w:rsidR="00B44956" w:rsidRPr="00B44956">
              <w:rPr>
                <w:rStyle w:val="Hyperlink"/>
                <w:rFonts w:ascii="Times New Roman" w:hAnsi="Times New Roman" w:cs="Times New Roman"/>
                <w:noProof/>
                <w:sz w:val="24"/>
                <w:szCs w:val="24"/>
              </w:rPr>
              <w:t>4.4 CMA Factor</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_Toc103963056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27</w:t>
            </w:r>
            <w:r w:rsidR="00B44956" w:rsidRPr="00B44956">
              <w:rPr>
                <w:rFonts w:ascii="Times New Roman" w:hAnsi="Times New Roman" w:cs="Times New Roman"/>
                <w:noProof/>
                <w:webHidden/>
                <w:sz w:val="24"/>
                <w:szCs w:val="24"/>
              </w:rPr>
              <w:fldChar w:fldCharType="end"/>
            </w:r>
          </w:hyperlink>
        </w:p>
        <w:p w14:paraId="782EFFC4" w14:textId="73FDC091"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7" w:history="1">
            <w:r w:rsidR="00B44956" w:rsidRPr="00B44956">
              <w:rPr>
                <w:rStyle w:val="Hyperlink"/>
                <w:rFonts w:ascii="Times New Roman" w:hAnsi="Times New Roman" w:cs="Times New Roman"/>
                <w:noProof/>
                <w:sz w:val="24"/>
                <w:szCs w:val="24"/>
              </w:rPr>
              <w:t>4.5 R</w:t>
            </w:r>
            <w:r w:rsidR="00B44956" w:rsidRPr="00B44956">
              <w:rPr>
                <w:rStyle w:val="Hyperlink"/>
                <w:rFonts w:ascii="Times New Roman" w:hAnsi="Times New Roman" w:cs="Times New Roman"/>
                <w:noProof/>
                <w:sz w:val="24"/>
                <w:szCs w:val="24"/>
                <w:vertAlign w:val="superscript"/>
              </w:rPr>
              <w:t>2</w:t>
            </w:r>
            <w:r w:rsidR="00B44956" w:rsidRPr="00B44956">
              <w:rPr>
                <w:rStyle w:val="Hyperlink"/>
                <w:rFonts w:ascii="Times New Roman" w:hAnsi="Times New Roman" w:cs="Times New Roman"/>
                <w:noProof/>
                <w:sz w:val="24"/>
                <w:szCs w:val="24"/>
              </w:rPr>
              <w:t xml:space="preserve"> Value</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_Toc103963057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28</w:t>
            </w:r>
            <w:r w:rsidR="00B44956" w:rsidRPr="00B44956">
              <w:rPr>
                <w:rFonts w:ascii="Times New Roman" w:hAnsi="Times New Roman" w:cs="Times New Roman"/>
                <w:noProof/>
                <w:webHidden/>
                <w:sz w:val="24"/>
                <w:szCs w:val="24"/>
              </w:rPr>
              <w:fldChar w:fldCharType="end"/>
            </w:r>
          </w:hyperlink>
        </w:p>
        <w:p w14:paraId="3E16FDD6" w14:textId="46C8A278"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58" w:history="1">
            <w:r w:rsidR="00B44956" w:rsidRPr="00B44956">
              <w:rPr>
                <w:rStyle w:val="Hyperlink"/>
                <w:rFonts w:ascii="Times New Roman" w:hAnsi="Times New Roman" w:cs="Times New Roman"/>
                <w:noProof/>
                <w:sz w:val="24"/>
                <w:szCs w:val="24"/>
              </w:rPr>
              <w:t>4.6 Limitation</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_Toc103963058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28</w:t>
            </w:r>
            <w:r w:rsidR="00B44956" w:rsidRPr="00B44956">
              <w:rPr>
                <w:rFonts w:ascii="Times New Roman" w:hAnsi="Times New Roman" w:cs="Times New Roman"/>
                <w:noProof/>
                <w:webHidden/>
                <w:sz w:val="24"/>
                <w:szCs w:val="24"/>
              </w:rPr>
              <w:fldChar w:fldCharType="end"/>
            </w:r>
          </w:hyperlink>
        </w:p>
        <w:p w14:paraId="1314C97F" w14:textId="19E4E8F0" w:rsidR="00B44956" w:rsidRPr="00B44956" w:rsidRDefault="00D808CD">
          <w:pPr>
            <w:pStyle w:val="TOC1"/>
            <w:tabs>
              <w:tab w:val="right" w:leader="dot" w:pos="9016"/>
            </w:tabs>
            <w:rPr>
              <w:rFonts w:ascii="Times New Roman" w:eastAsiaTheme="minorEastAsia" w:hAnsi="Times New Roman" w:cs="Times New Roman"/>
              <w:i w:val="0"/>
              <w:iCs w:val="0"/>
              <w:noProof/>
              <w:lang w:eastAsia="en-US"/>
            </w:rPr>
          </w:pPr>
          <w:hyperlink w:anchor="_Toc103963059" w:history="1">
            <w:r w:rsidR="00B44956" w:rsidRPr="00B44956">
              <w:rPr>
                <w:rStyle w:val="Hyperlink"/>
                <w:rFonts w:ascii="Times New Roman" w:hAnsi="Times New Roman" w:cs="Times New Roman"/>
                <w:noProof/>
              </w:rPr>
              <w:t>5. Conclusion &amp; Recommendation</w:t>
            </w:r>
            <w:r w:rsidR="00B44956" w:rsidRPr="00B44956">
              <w:rPr>
                <w:rFonts w:ascii="Times New Roman" w:hAnsi="Times New Roman" w:cs="Times New Roman"/>
                <w:noProof/>
                <w:webHidden/>
              </w:rPr>
              <w:tab/>
            </w:r>
            <w:r w:rsidR="00B44956" w:rsidRPr="00B44956">
              <w:rPr>
                <w:rFonts w:ascii="Times New Roman" w:hAnsi="Times New Roman" w:cs="Times New Roman"/>
                <w:noProof/>
                <w:webHidden/>
              </w:rPr>
              <w:fldChar w:fldCharType="begin"/>
            </w:r>
            <w:r w:rsidR="00B44956" w:rsidRPr="00B44956">
              <w:rPr>
                <w:rFonts w:ascii="Times New Roman" w:hAnsi="Times New Roman" w:cs="Times New Roman"/>
                <w:noProof/>
                <w:webHidden/>
              </w:rPr>
              <w:instrText xml:space="preserve"> PAGEREF _Toc103963059 \h </w:instrText>
            </w:r>
            <w:r w:rsidR="00B44956" w:rsidRPr="00B44956">
              <w:rPr>
                <w:rFonts w:ascii="Times New Roman" w:hAnsi="Times New Roman" w:cs="Times New Roman"/>
                <w:noProof/>
                <w:webHidden/>
              </w:rPr>
            </w:r>
            <w:r w:rsidR="00B44956" w:rsidRPr="00B44956">
              <w:rPr>
                <w:rFonts w:ascii="Times New Roman" w:hAnsi="Times New Roman" w:cs="Times New Roman"/>
                <w:noProof/>
                <w:webHidden/>
              </w:rPr>
              <w:fldChar w:fldCharType="separate"/>
            </w:r>
            <w:r w:rsidR="00483D98">
              <w:rPr>
                <w:rFonts w:ascii="Times New Roman" w:hAnsi="Times New Roman" w:cs="Times New Roman"/>
                <w:noProof/>
                <w:webHidden/>
              </w:rPr>
              <w:t>29</w:t>
            </w:r>
            <w:r w:rsidR="00B44956" w:rsidRPr="00B44956">
              <w:rPr>
                <w:rFonts w:ascii="Times New Roman" w:hAnsi="Times New Roman" w:cs="Times New Roman"/>
                <w:noProof/>
                <w:webHidden/>
              </w:rPr>
              <w:fldChar w:fldCharType="end"/>
            </w:r>
          </w:hyperlink>
        </w:p>
        <w:p w14:paraId="1F82BCF1" w14:textId="2484ADBB"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60" w:history="1">
            <w:r w:rsidR="00B44956" w:rsidRPr="00B44956">
              <w:rPr>
                <w:rStyle w:val="Hyperlink"/>
                <w:rFonts w:ascii="Times New Roman" w:hAnsi="Times New Roman" w:cs="Times New Roman"/>
                <w:noProof/>
                <w:sz w:val="24"/>
                <w:szCs w:val="24"/>
              </w:rPr>
              <w:t>5.1 Conclusion</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_Toc103963060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29</w:t>
            </w:r>
            <w:r w:rsidR="00B44956" w:rsidRPr="00B44956">
              <w:rPr>
                <w:rFonts w:ascii="Times New Roman" w:hAnsi="Times New Roman" w:cs="Times New Roman"/>
                <w:noProof/>
                <w:webHidden/>
                <w:sz w:val="24"/>
                <w:szCs w:val="24"/>
              </w:rPr>
              <w:fldChar w:fldCharType="end"/>
            </w:r>
          </w:hyperlink>
        </w:p>
        <w:p w14:paraId="75973F0B" w14:textId="3753D70B" w:rsidR="00B44956" w:rsidRPr="00B44956" w:rsidRDefault="00D808CD">
          <w:pPr>
            <w:pStyle w:val="TOC2"/>
            <w:tabs>
              <w:tab w:val="right" w:leader="dot" w:pos="9016"/>
            </w:tabs>
            <w:rPr>
              <w:rFonts w:ascii="Times New Roman" w:eastAsiaTheme="minorEastAsia" w:hAnsi="Times New Roman" w:cs="Times New Roman"/>
              <w:noProof/>
              <w:sz w:val="24"/>
              <w:szCs w:val="24"/>
              <w:lang w:eastAsia="en-US"/>
            </w:rPr>
          </w:pPr>
          <w:hyperlink w:anchor="_Toc103963061" w:history="1">
            <w:r w:rsidR="00B44956" w:rsidRPr="00B44956">
              <w:rPr>
                <w:rStyle w:val="Hyperlink"/>
                <w:rFonts w:ascii="Times New Roman" w:hAnsi="Times New Roman" w:cs="Times New Roman"/>
                <w:noProof/>
                <w:sz w:val="24"/>
                <w:szCs w:val="24"/>
              </w:rPr>
              <w:t>5.2 Recommendation</w:t>
            </w:r>
            <w:r w:rsidR="00B44956" w:rsidRPr="00B44956">
              <w:rPr>
                <w:rFonts w:ascii="Times New Roman" w:hAnsi="Times New Roman" w:cs="Times New Roman"/>
                <w:noProof/>
                <w:webHidden/>
                <w:sz w:val="24"/>
                <w:szCs w:val="24"/>
              </w:rPr>
              <w:tab/>
            </w:r>
            <w:r w:rsidR="00B44956" w:rsidRPr="00B44956">
              <w:rPr>
                <w:rFonts w:ascii="Times New Roman" w:hAnsi="Times New Roman" w:cs="Times New Roman"/>
                <w:noProof/>
                <w:webHidden/>
                <w:sz w:val="24"/>
                <w:szCs w:val="24"/>
              </w:rPr>
              <w:fldChar w:fldCharType="begin"/>
            </w:r>
            <w:r w:rsidR="00B44956" w:rsidRPr="00B44956">
              <w:rPr>
                <w:rFonts w:ascii="Times New Roman" w:hAnsi="Times New Roman" w:cs="Times New Roman"/>
                <w:noProof/>
                <w:webHidden/>
                <w:sz w:val="24"/>
                <w:szCs w:val="24"/>
              </w:rPr>
              <w:instrText xml:space="preserve"> PAGEREF _Toc103963061 \h </w:instrText>
            </w:r>
            <w:r w:rsidR="00B44956" w:rsidRPr="00B44956">
              <w:rPr>
                <w:rFonts w:ascii="Times New Roman" w:hAnsi="Times New Roman" w:cs="Times New Roman"/>
                <w:noProof/>
                <w:webHidden/>
                <w:sz w:val="24"/>
                <w:szCs w:val="24"/>
              </w:rPr>
            </w:r>
            <w:r w:rsidR="00B44956" w:rsidRPr="00B44956">
              <w:rPr>
                <w:rFonts w:ascii="Times New Roman" w:hAnsi="Times New Roman" w:cs="Times New Roman"/>
                <w:noProof/>
                <w:webHidden/>
                <w:sz w:val="24"/>
                <w:szCs w:val="24"/>
              </w:rPr>
              <w:fldChar w:fldCharType="separate"/>
            </w:r>
            <w:r w:rsidR="00483D98">
              <w:rPr>
                <w:rFonts w:ascii="Times New Roman" w:hAnsi="Times New Roman" w:cs="Times New Roman"/>
                <w:noProof/>
                <w:webHidden/>
                <w:sz w:val="24"/>
                <w:szCs w:val="24"/>
              </w:rPr>
              <w:t>30</w:t>
            </w:r>
            <w:r w:rsidR="00B44956" w:rsidRPr="00B44956">
              <w:rPr>
                <w:rFonts w:ascii="Times New Roman" w:hAnsi="Times New Roman" w:cs="Times New Roman"/>
                <w:noProof/>
                <w:webHidden/>
                <w:sz w:val="24"/>
                <w:szCs w:val="24"/>
              </w:rPr>
              <w:fldChar w:fldCharType="end"/>
            </w:r>
          </w:hyperlink>
        </w:p>
        <w:p w14:paraId="465A6C80" w14:textId="521400DE" w:rsidR="00B44956" w:rsidRPr="00B44956" w:rsidRDefault="00D808CD">
          <w:pPr>
            <w:pStyle w:val="TOC1"/>
            <w:tabs>
              <w:tab w:val="right" w:leader="dot" w:pos="9016"/>
            </w:tabs>
            <w:rPr>
              <w:rFonts w:ascii="Times New Roman" w:eastAsiaTheme="minorEastAsia" w:hAnsi="Times New Roman" w:cs="Times New Roman"/>
              <w:i w:val="0"/>
              <w:iCs w:val="0"/>
              <w:noProof/>
              <w:lang w:eastAsia="en-US"/>
            </w:rPr>
          </w:pPr>
          <w:hyperlink w:anchor="_Toc103963062" w:history="1">
            <w:r w:rsidR="00B44956" w:rsidRPr="00B44956">
              <w:rPr>
                <w:rStyle w:val="Hyperlink"/>
                <w:rFonts w:ascii="Times New Roman" w:hAnsi="Times New Roman" w:cs="Times New Roman"/>
                <w:noProof/>
              </w:rPr>
              <w:t>References</w:t>
            </w:r>
            <w:r w:rsidR="00B44956" w:rsidRPr="00B44956">
              <w:rPr>
                <w:rFonts w:ascii="Times New Roman" w:hAnsi="Times New Roman" w:cs="Times New Roman"/>
                <w:noProof/>
                <w:webHidden/>
              </w:rPr>
              <w:tab/>
            </w:r>
            <w:r w:rsidR="00B44956" w:rsidRPr="00B44956">
              <w:rPr>
                <w:rFonts w:ascii="Times New Roman" w:hAnsi="Times New Roman" w:cs="Times New Roman"/>
                <w:noProof/>
                <w:webHidden/>
              </w:rPr>
              <w:fldChar w:fldCharType="begin"/>
            </w:r>
            <w:r w:rsidR="00B44956" w:rsidRPr="00B44956">
              <w:rPr>
                <w:rFonts w:ascii="Times New Roman" w:hAnsi="Times New Roman" w:cs="Times New Roman"/>
                <w:noProof/>
                <w:webHidden/>
              </w:rPr>
              <w:instrText xml:space="preserve"> PAGEREF _Toc103963062 \h </w:instrText>
            </w:r>
            <w:r w:rsidR="00B44956" w:rsidRPr="00B44956">
              <w:rPr>
                <w:rFonts w:ascii="Times New Roman" w:hAnsi="Times New Roman" w:cs="Times New Roman"/>
                <w:noProof/>
                <w:webHidden/>
              </w:rPr>
            </w:r>
            <w:r w:rsidR="00B44956" w:rsidRPr="00B44956">
              <w:rPr>
                <w:rFonts w:ascii="Times New Roman" w:hAnsi="Times New Roman" w:cs="Times New Roman"/>
                <w:noProof/>
                <w:webHidden/>
              </w:rPr>
              <w:fldChar w:fldCharType="separate"/>
            </w:r>
            <w:r w:rsidR="00483D98">
              <w:rPr>
                <w:rFonts w:ascii="Times New Roman" w:hAnsi="Times New Roman" w:cs="Times New Roman"/>
                <w:noProof/>
                <w:webHidden/>
              </w:rPr>
              <w:t>31</w:t>
            </w:r>
            <w:r w:rsidR="00B44956" w:rsidRPr="00B44956">
              <w:rPr>
                <w:rFonts w:ascii="Times New Roman" w:hAnsi="Times New Roman" w:cs="Times New Roman"/>
                <w:noProof/>
                <w:webHidden/>
              </w:rPr>
              <w:fldChar w:fldCharType="end"/>
            </w:r>
          </w:hyperlink>
        </w:p>
        <w:p w14:paraId="0865F043" w14:textId="16014CBC" w:rsidR="00B6760D" w:rsidRPr="00B6760D" w:rsidRDefault="00B6760D">
          <w:r w:rsidRPr="00B44956">
            <w:rPr>
              <w:b/>
              <w:bCs/>
              <w:noProof/>
            </w:rPr>
            <w:fldChar w:fldCharType="end"/>
          </w:r>
        </w:p>
      </w:sdtContent>
    </w:sdt>
    <w:p w14:paraId="1EB980FE" w14:textId="4182E7B7" w:rsidR="00BD4D27" w:rsidRPr="00B6760D" w:rsidRDefault="00BD4D27" w:rsidP="000F7229">
      <w:pPr>
        <w:pStyle w:val="Heading1"/>
        <w:rPr>
          <w:rFonts w:ascii="Times New Roman" w:hAnsi="Times New Roman" w:cs="Times New Roman"/>
          <w:b/>
          <w:bCs/>
          <w:color w:val="000000" w:themeColor="text1"/>
          <w:sz w:val="24"/>
          <w:szCs w:val="24"/>
          <w:u w:val="single"/>
        </w:rPr>
      </w:pPr>
    </w:p>
    <w:p w14:paraId="56003B36" w14:textId="77777777" w:rsidR="00B6760D" w:rsidRPr="00B6760D" w:rsidRDefault="00B6760D" w:rsidP="00B6760D"/>
    <w:p w14:paraId="02D2D02C" w14:textId="6C88DA09" w:rsidR="00BD4D27" w:rsidRDefault="00BD4D27" w:rsidP="00BD4D27"/>
    <w:p w14:paraId="592171FF" w14:textId="731F359A" w:rsidR="00BD4D27" w:rsidRDefault="00BD4D27" w:rsidP="00BD4D27"/>
    <w:p w14:paraId="0F58395A" w14:textId="77777777" w:rsidR="00BD4D27" w:rsidRPr="00BD4D27" w:rsidRDefault="00BD4D27" w:rsidP="00BD4D27"/>
    <w:p w14:paraId="02557479" w14:textId="64952FE0" w:rsidR="00BD4D27" w:rsidRDefault="00BD4D27" w:rsidP="000F7229">
      <w:pPr>
        <w:pStyle w:val="Heading1"/>
        <w:rPr>
          <w:rFonts w:ascii="Times New Roman" w:hAnsi="Times New Roman" w:cs="Times New Roman"/>
          <w:b/>
          <w:bCs/>
          <w:color w:val="000000" w:themeColor="text1"/>
          <w:sz w:val="24"/>
          <w:szCs w:val="24"/>
          <w:u w:val="single"/>
        </w:rPr>
      </w:pPr>
    </w:p>
    <w:p w14:paraId="4A5A9A29" w14:textId="61EC5763" w:rsidR="003D767A" w:rsidRDefault="003D767A" w:rsidP="003D767A"/>
    <w:p w14:paraId="42E169D3" w14:textId="5CA59CF7" w:rsidR="00B6760D" w:rsidRDefault="00B6760D" w:rsidP="003D767A"/>
    <w:p w14:paraId="58839D59" w14:textId="77777777" w:rsidR="00B6760D" w:rsidRDefault="00B6760D" w:rsidP="003D767A"/>
    <w:p w14:paraId="70B18A46" w14:textId="6612864E" w:rsidR="003D767A" w:rsidRDefault="003D767A" w:rsidP="003D767A"/>
    <w:p w14:paraId="6FB7474F" w14:textId="77777777" w:rsidR="003D767A" w:rsidRPr="003D767A" w:rsidRDefault="003D767A" w:rsidP="003D767A"/>
    <w:p w14:paraId="292785BD" w14:textId="78CA4211" w:rsidR="00B40752" w:rsidRPr="00C90D1E" w:rsidRDefault="00C73D97" w:rsidP="000F7229">
      <w:pPr>
        <w:pStyle w:val="Heading1"/>
        <w:rPr>
          <w:rFonts w:ascii="Times New Roman" w:hAnsi="Times New Roman" w:cs="Times New Roman"/>
          <w:b/>
          <w:bCs/>
          <w:color w:val="000000" w:themeColor="text1"/>
          <w:sz w:val="24"/>
          <w:szCs w:val="24"/>
          <w:u w:val="single"/>
        </w:rPr>
      </w:pPr>
      <w:bookmarkStart w:id="2" w:name="_Toc103963040"/>
      <w:r w:rsidRPr="00C90D1E">
        <w:rPr>
          <w:rFonts w:ascii="Times New Roman" w:hAnsi="Times New Roman" w:cs="Times New Roman"/>
          <w:b/>
          <w:bCs/>
          <w:color w:val="000000" w:themeColor="text1"/>
          <w:sz w:val="24"/>
          <w:szCs w:val="24"/>
          <w:u w:val="single"/>
        </w:rPr>
        <w:lastRenderedPageBreak/>
        <w:t xml:space="preserve">1. </w:t>
      </w:r>
      <w:r w:rsidR="00B6406B" w:rsidRPr="00C90D1E">
        <w:rPr>
          <w:rFonts w:ascii="Times New Roman" w:hAnsi="Times New Roman" w:cs="Times New Roman"/>
          <w:b/>
          <w:bCs/>
          <w:color w:val="000000" w:themeColor="text1"/>
          <w:sz w:val="24"/>
          <w:szCs w:val="24"/>
          <w:u w:val="single"/>
        </w:rPr>
        <w:t>Introduction</w:t>
      </w:r>
      <w:bookmarkEnd w:id="1"/>
      <w:bookmarkEnd w:id="0"/>
      <w:bookmarkEnd w:id="2"/>
    </w:p>
    <w:p w14:paraId="2B123B23" w14:textId="4E01305E" w:rsidR="00C73D97" w:rsidRDefault="00C73D97" w:rsidP="00C608D9">
      <w:pPr>
        <w:spacing w:line="360" w:lineRule="auto"/>
        <w:rPr>
          <w:b/>
          <w:bCs/>
          <w:u w:val="single"/>
        </w:rPr>
      </w:pPr>
    </w:p>
    <w:p w14:paraId="38499937" w14:textId="7D65FC6A" w:rsidR="00B81B44" w:rsidRDefault="001E55F3" w:rsidP="001E55F3">
      <w:pPr>
        <w:spacing w:line="360" w:lineRule="auto"/>
      </w:pPr>
      <w:r>
        <w:t xml:space="preserve">On this paper, we </w:t>
      </w:r>
      <w:r w:rsidR="005177D4">
        <w:t>build,</w:t>
      </w:r>
      <w:r>
        <w:t xml:space="preserve"> and make special emphasis</w:t>
      </w:r>
      <w:r w:rsidR="00B81B44">
        <w:t>,</w:t>
      </w:r>
      <w:r>
        <w:t xml:space="preserve"> on the research on value and growth investors by </w:t>
      </w:r>
      <w:proofErr w:type="spellStart"/>
      <w:r>
        <w:t>Betermier</w:t>
      </w:r>
      <w:proofErr w:type="spellEnd"/>
      <w:r>
        <w:t xml:space="preserve">, </w:t>
      </w:r>
      <w:proofErr w:type="spellStart"/>
      <w:r>
        <w:t>Calvet</w:t>
      </w:r>
      <w:proofErr w:type="spellEnd"/>
      <w:r>
        <w:t xml:space="preserve">, and </w:t>
      </w:r>
      <w:proofErr w:type="spellStart"/>
      <w:r>
        <w:t>Sodini</w:t>
      </w:r>
      <w:proofErr w:type="spellEnd"/>
      <w:r>
        <w:t xml:space="preserve"> (2017). Our results seem to be mostly cohesive with the previous research sustaining their hypothesis that investors with a higher risk-bearing capacity are more prone to tilt their portfolio towards value stocks. Furthermore, the novelties of the study include all the other factors from the 2015 model. In addition, while the </w:t>
      </w:r>
      <w:proofErr w:type="spellStart"/>
      <w:r>
        <w:t>Betermier</w:t>
      </w:r>
      <w:proofErr w:type="spellEnd"/>
      <w:r>
        <w:t xml:space="preserve"> et al. paper focus</w:t>
      </w:r>
      <w:r w:rsidR="00B81B44">
        <w:t xml:space="preserve"> on risk bearing capacity, we add the element of risk taking</w:t>
      </w:r>
      <w:r w:rsidR="00B24A31">
        <w:t>.</w:t>
      </w:r>
      <w:r w:rsidR="00B81B44">
        <w:t xml:space="preserve"> </w:t>
      </w:r>
      <w:r w:rsidR="00B24A31">
        <w:t>B</w:t>
      </w:r>
      <w:r w:rsidR="00C90D1E">
        <w:t>ased on</w:t>
      </w:r>
      <w:r w:rsidR="00B81B44">
        <w:t xml:space="preserve"> both of these </w:t>
      </w:r>
      <w:r w:rsidR="006D67C0">
        <w:t>household facets, we hope to offer a more complete picture on who the</w:t>
      </w:r>
      <w:r w:rsidR="00C90D1E">
        <w:t xml:space="preserve"> </w:t>
      </w:r>
      <w:proofErr w:type="spellStart"/>
      <w:r w:rsidR="006D67C0">
        <w:t>Fama</w:t>
      </w:r>
      <w:proofErr w:type="spellEnd"/>
      <w:r w:rsidR="006D67C0">
        <w:t>-French investors</w:t>
      </w:r>
      <w:r w:rsidR="005907BA">
        <w:t xml:space="preserve"> are.</w:t>
      </w:r>
    </w:p>
    <w:p w14:paraId="4BA7C2B4" w14:textId="77777777" w:rsidR="001E55F3" w:rsidRDefault="001E55F3" w:rsidP="00C608D9">
      <w:pPr>
        <w:spacing w:line="360" w:lineRule="auto"/>
      </w:pPr>
    </w:p>
    <w:p w14:paraId="6B96493C" w14:textId="7F90CD9F" w:rsidR="0061242A" w:rsidRDefault="001E55F3" w:rsidP="00C608D9">
      <w:pPr>
        <w:spacing w:line="360" w:lineRule="auto"/>
      </w:pPr>
      <w:r>
        <w:t>The procedure consists</w:t>
      </w:r>
      <w:r w:rsidR="00C90D1E">
        <w:t xml:space="preserve"> of</w:t>
      </w:r>
      <w:r>
        <w:t xml:space="preserve"> </w:t>
      </w:r>
      <w:r w:rsidR="00D76189">
        <w:t>regress</w:t>
      </w:r>
      <w:r>
        <w:t>ing</w:t>
      </w:r>
      <w:r w:rsidR="00D76189">
        <w:t xml:space="preserve"> socioeconomical and demographical characteristics on portfolios tilted towards the long leg of each factor of the </w:t>
      </w:r>
      <w:proofErr w:type="spellStart"/>
      <w:r w:rsidR="00D76189">
        <w:t>Fama</w:t>
      </w:r>
      <w:proofErr w:type="spellEnd"/>
      <w:r w:rsidR="00D76189">
        <w:t>-French 5 Factor model</w:t>
      </w:r>
      <w:r w:rsidR="009C5D6E">
        <w:t xml:space="preserve"> (FF5FM)</w:t>
      </w:r>
      <w:r w:rsidR="00D76189">
        <w:t>, therefore we run four different regressions, one per factor, excluding the market</w:t>
      </w:r>
      <w:r w:rsidR="00A0499A">
        <w:t xml:space="preserve"> risk</w:t>
      </w:r>
      <w:r w:rsidR="00D76189">
        <w:t xml:space="preserve"> </w:t>
      </w:r>
      <w:r w:rsidR="00A0499A">
        <w:t>premium.</w:t>
      </w:r>
      <w:r w:rsidR="009C5D6E">
        <w:t xml:space="preserve"> </w:t>
      </w:r>
      <w:r w:rsidR="00D47B82">
        <w:t xml:space="preserve">For the </w:t>
      </w:r>
      <w:r w:rsidR="00990742">
        <w:t xml:space="preserve">size factor, we found </w:t>
      </w:r>
      <w:r w:rsidR="00706AEC">
        <w:t>a</w:t>
      </w:r>
      <w:r w:rsidR="00FF12AB">
        <w:t xml:space="preserve"> </w:t>
      </w:r>
      <w:r w:rsidR="00706AEC">
        <w:t xml:space="preserve">small </w:t>
      </w:r>
      <w:r w:rsidR="00FF12AB">
        <w:t>association between older investors</w:t>
      </w:r>
      <w:r w:rsidR="00706AEC">
        <w:t xml:space="preserve"> having a portfolio more tilted towards small caps (</w:t>
      </w:r>
      <w:r w:rsidR="00D67B9B">
        <w:sym w:font="Symbol" w:char="F062"/>
      </w:r>
      <w:r w:rsidR="00706AEC">
        <w:t>= &gt;0,00</w:t>
      </w:r>
      <w:r w:rsidR="00D67B9B">
        <w:t>1</w:t>
      </w:r>
      <w:r w:rsidR="00706AEC">
        <w:t>)</w:t>
      </w:r>
      <w:r w:rsidR="00FF12AB">
        <w:t xml:space="preserve">. Furthermore, </w:t>
      </w:r>
      <w:r w:rsidR="00706AEC">
        <w:t>the results indicate that wealthier (</w:t>
      </w:r>
      <w:r w:rsidR="00D67B9B">
        <w:sym w:font="Symbol" w:char="F062"/>
      </w:r>
      <w:r w:rsidR="00706AEC">
        <w:t>= 0,</w:t>
      </w:r>
      <w:r w:rsidR="00D67B9B">
        <w:t>015)</w:t>
      </w:r>
      <w:r w:rsidR="00706AEC">
        <w:t>, women</w:t>
      </w:r>
      <w:r w:rsidR="00D67B9B">
        <w:t xml:space="preserve"> (</w:t>
      </w:r>
      <w:r w:rsidR="00D67B9B">
        <w:sym w:font="Symbol" w:char="F062"/>
      </w:r>
      <w:r w:rsidR="00D67B9B">
        <w:t>= 0,081)</w:t>
      </w:r>
      <w:r w:rsidR="00706AEC">
        <w:t xml:space="preserve">, and </w:t>
      </w:r>
      <w:r w:rsidR="00D67B9B">
        <w:t>with university education (</w:t>
      </w:r>
      <w:r w:rsidR="00D67B9B">
        <w:sym w:font="Symbol" w:char="F062"/>
      </w:r>
      <w:r w:rsidR="00D67B9B">
        <w:t>= 0,069) own higher book-to-</w:t>
      </w:r>
      <w:r w:rsidR="008355AC">
        <w:t>market</w:t>
      </w:r>
      <w:r w:rsidR="00D67B9B">
        <w:t xml:space="preserve"> stocks. Then, the variables associated with investing in the long leg of the profitability factor consist of gender</w:t>
      </w:r>
      <w:r w:rsidR="001C2531">
        <w:t xml:space="preserve">, women being the investors in the long </w:t>
      </w:r>
      <w:r w:rsidR="0061242A">
        <w:t>leg (</w:t>
      </w:r>
      <w:r w:rsidR="00D67B9B">
        <w:sym w:font="Symbol" w:char="F062"/>
      </w:r>
      <w:r w:rsidR="00D67B9B">
        <w:t>=</w:t>
      </w:r>
      <w:r w:rsidR="008D511A">
        <w:t xml:space="preserve"> </w:t>
      </w:r>
      <w:r w:rsidR="00D67B9B">
        <w:t xml:space="preserve">0,12) again, and whether </w:t>
      </w:r>
      <w:r w:rsidR="001C2531">
        <w:t>the investor owns or rents their accommodation, renters being the “</w:t>
      </w:r>
      <w:proofErr w:type="spellStart"/>
      <w:r w:rsidR="001C2531">
        <w:t>Fama</w:t>
      </w:r>
      <w:proofErr w:type="spellEnd"/>
      <w:r w:rsidR="001C2531">
        <w:t>-French investors” for this factor (</w:t>
      </w:r>
      <w:r w:rsidR="001C2531">
        <w:sym w:font="Symbol" w:char="F062"/>
      </w:r>
      <w:r w:rsidR="001C2531">
        <w:t>=</w:t>
      </w:r>
      <w:r w:rsidR="008D511A">
        <w:t xml:space="preserve"> </w:t>
      </w:r>
      <w:r w:rsidR="001C2531">
        <w:t>0,17). Lastly, we found an association between wealthier investors and possession of stocks from firms with conservative investing behaviors (</w:t>
      </w:r>
      <w:r w:rsidR="001C2531">
        <w:sym w:font="Symbol" w:char="F062"/>
      </w:r>
      <w:r w:rsidR="001C2531">
        <w:t>=</w:t>
      </w:r>
      <w:r w:rsidR="008D511A">
        <w:t xml:space="preserve"> </w:t>
      </w:r>
      <w:r w:rsidR="001C2531">
        <w:t>0,01).</w:t>
      </w:r>
      <w:r w:rsidR="0061242A">
        <w:t xml:space="preserve"> </w:t>
      </w:r>
    </w:p>
    <w:p w14:paraId="0893BF44" w14:textId="77777777" w:rsidR="00990742" w:rsidRDefault="00990742" w:rsidP="00C608D9">
      <w:pPr>
        <w:spacing w:line="360" w:lineRule="auto"/>
      </w:pPr>
    </w:p>
    <w:p w14:paraId="2A358623" w14:textId="170B2E1B" w:rsidR="00944A17" w:rsidRDefault="00D76189" w:rsidP="00C608D9">
      <w:pPr>
        <w:spacing w:line="360" w:lineRule="auto"/>
      </w:pPr>
      <w:r>
        <w:t>T</w:t>
      </w:r>
      <w:r w:rsidR="00A0499A">
        <w:t>he</w:t>
      </w:r>
      <w:r w:rsidR="0061242A">
        <w:t xml:space="preserve"> values </w:t>
      </w:r>
      <w:r w:rsidR="001E55F3">
        <w:t xml:space="preserve">described </w:t>
      </w:r>
      <w:r w:rsidR="0061242A">
        <w:t>above stem from</w:t>
      </w:r>
      <w:r w:rsidR="00A0499A">
        <w:t xml:space="preserve"> portfolios</w:t>
      </w:r>
      <w:r w:rsidR="007B6A90">
        <w:t>, ranging from 2002 to 2018,</w:t>
      </w:r>
      <w:r w:rsidR="00A0499A">
        <w:t xml:space="preserve"> retrieved from the DNB Household Survey, an annual questionnaire administered by </w:t>
      </w:r>
      <w:proofErr w:type="spellStart"/>
      <w:r w:rsidR="00A0499A">
        <w:t>Centerdata</w:t>
      </w:r>
      <w:proofErr w:type="spellEnd"/>
      <w:r w:rsidR="00A0499A">
        <w:t xml:space="preserve">, covering the wealth, income, and identifying data of over a thousand households. </w:t>
      </w:r>
      <w:r w:rsidR="007B6A90">
        <w:t xml:space="preserve">Given the messy nature of the database, we convey a rather intensive process of data preparation, including string matching </w:t>
      </w:r>
      <w:r w:rsidR="005907BA">
        <w:t xml:space="preserve">- </w:t>
      </w:r>
      <w:r w:rsidR="007B6A90">
        <w:t xml:space="preserve">for which the use of </w:t>
      </w:r>
      <w:proofErr w:type="spellStart"/>
      <w:r w:rsidR="007B6A90">
        <w:t>Levenshtein</w:t>
      </w:r>
      <w:proofErr w:type="spellEnd"/>
      <w:r w:rsidR="007B6A90">
        <w:t xml:space="preserve"> distances was key</w:t>
      </w:r>
      <w:r w:rsidR="00B24A31">
        <w:t>- editing</w:t>
      </w:r>
      <w:r w:rsidR="007B6A90">
        <w:t xml:space="preserve">, </w:t>
      </w:r>
      <w:r w:rsidR="00C90D1E">
        <w:t>c</w:t>
      </w:r>
      <w:r w:rsidR="007B6A90">
        <w:t xml:space="preserve">leaning, and tokenization. The programming tools used for the procedure described above </w:t>
      </w:r>
      <w:r w:rsidR="00C90D1E">
        <w:t>are</w:t>
      </w:r>
      <w:r w:rsidR="007B6A90">
        <w:t xml:space="preserve"> Python, and R.  </w:t>
      </w:r>
    </w:p>
    <w:p w14:paraId="03241978" w14:textId="77777777" w:rsidR="006D67C0" w:rsidRDefault="006D67C0" w:rsidP="00C608D9">
      <w:pPr>
        <w:spacing w:line="360" w:lineRule="auto"/>
      </w:pPr>
    </w:p>
    <w:p w14:paraId="6E807EDC" w14:textId="1E4C7E9B" w:rsidR="00152092" w:rsidRDefault="00944A17" w:rsidP="00C608D9">
      <w:pPr>
        <w:spacing w:line="360" w:lineRule="auto"/>
      </w:pPr>
      <w:r>
        <w:t xml:space="preserve">On the </w:t>
      </w:r>
      <w:r w:rsidR="00A93E9C">
        <w:t>following</w:t>
      </w:r>
      <w:r>
        <w:t xml:space="preserve"> chapter</w:t>
      </w:r>
      <w:r w:rsidR="00A93E9C">
        <w:t>s, we will dive into our motivation and foundations for this study</w:t>
      </w:r>
      <w:r w:rsidR="009B24C5">
        <w:t>. We will look at</w:t>
      </w:r>
      <w:r w:rsidR="00A93E9C">
        <w:t xml:space="preserve"> the theory in which it is b</w:t>
      </w:r>
      <w:r w:rsidR="009B24C5">
        <w:t>uilt</w:t>
      </w:r>
      <w:r w:rsidR="00A93E9C">
        <w:t>,</w:t>
      </w:r>
      <w:r w:rsidR="009B24C5">
        <w:t xml:space="preserve"> and</w:t>
      </w:r>
      <w:r w:rsidR="00A93E9C">
        <w:t xml:space="preserve"> the methods used to convey it</w:t>
      </w:r>
      <w:r w:rsidR="009B24C5">
        <w:t xml:space="preserve">. Lastly, </w:t>
      </w:r>
      <w:r w:rsidR="009B24C5">
        <w:lastRenderedPageBreak/>
        <w:t>based on the achieved results, we will discuss its implications</w:t>
      </w:r>
      <w:r w:rsidR="008F1A9D">
        <w:t>,</w:t>
      </w:r>
      <w:r w:rsidR="009B24C5">
        <w:t xml:space="preserve"> and further outlook on the topic. </w:t>
      </w:r>
    </w:p>
    <w:p w14:paraId="4B2AE6DD" w14:textId="1F33C822" w:rsidR="000C7E43" w:rsidRDefault="000C7E43" w:rsidP="00C608D9">
      <w:pPr>
        <w:spacing w:line="360" w:lineRule="auto"/>
      </w:pPr>
    </w:p>
    <w:p w14:paraId="2091733B" w14:textId="06FE5EBA" w:rsidR="008B0567" w:rsidRDefault="008B0567" w:rsidP="00C608D9">
      <w:pPr>
        <w:spacing w:line="360" w:lineRule="auto"/>
      </w:pPr>
    </w:p>
    <w:p w14:paraId="6784B333" w14:textId="1FF9C905" w:rsidR="008B0567" w:rsidRDefault="008B0567" w:rsidP="00C608D9">
      <w:pPr>
        <w:spacing w:line="360" w:lineRule="auto"/>
      </w:pPr>
    </w:p>
    <w:p w14:paraId="4CA196B6" w14:textId="60275F76" w:rsidR="008B0567" w:rsidRDefault="008B0567" w:rsidP="00C608D9">
      <w:pPr>
        <w:spacing w:line="360" w:lineRule="auto"/>
      </w:pPr>
    </w:p>
    <w:p w14:paraId="6186209C" w14:textId="314B46B5" w:rsidR="008B0567" w:rsidRDefault="008B0567" w:rsidP="00C608D9">
      <w:pPr>
        <w:spacing w:line="360" w:lineRule="auto"/>
      </w:pPr>
    </w:p>
    <w:p w14:paraId="2FE4686B" w14:textId="5D2173CC" w:rsidR="008B0567" w:rsidRDefault="008B0567" w:rsidP="00C608D9">
      <w:pPr>
        <w:spacing w:line="360" w:lineRule="auto"/>
      </w:pPr>
    </w:p>
    <w:p w14:paraId="67644AD9" w14:textId="21510308" w:rsidR="008B0567" w:rsidRDefault="008B0567" w:rsidP="00C608D9">
      <w:pPr>
        <w:spacing w:line="360" w:lineRule="auto"/>
      </w:pPr>
    </w:p>
    <w:p w14:paraId="3BEE0ACB" w14:textId="2DE9D2D0" w:rsidR="008B0567" w:rsidRDefault="008B0567" w:rsidP="00C608D9">
      <w:pPr>
        <w:spacing w:line="360" w:lineRule="auto"/>
      </w:pPr>
    </w:p>
    <w:p w14:paraId="7E4930C1" w14:textId="149FFD8E" w:rsidR="008B0567" w:rsidRDefault="008B0567" w:rsidP="00C608D9">
      <w:pPr>
        <w:spacing w:line="360" w:lineRule="auto"/>
      </w:pPr>
    </w:p>
    <w:p w14:paraId="58CEE6C2" w14:textId="644F7736" w:rsidR="008B0567" w:rsidRDefault="008B0567" w:rsidP="00C608D9">
      <w:pPr>
        <w:spacing w:line="360" w:lineRule="auto"/>
      </w:pPr>
    </w:p>
    <w:p w14:paraId="579D390B" w14:textId="217E23F4" w:rsidR="008B0567" w:rsidRDefault="008B0567" w:rsidP="00C608D9">
      <w:pPr>
        <w:spacing w:line="360" w:lineRule="auto"/>
      </w:pPr>
    </w:p>
    <w:p w14:paraId="7F360335" w14:textId="445C28D4" w:rsidR="008B0567" w:rsidRDefault="008B0567" w:rsidP="00C608D9">
      <w:pPr>
        <w:spacing w:line="360" w:lineRule="auto"/>
      </w:pPr>
    </w:p>
    <w:p w14:paraId="1E9713D3" w14:textId="0A458261" w:rsidR="008B0567" w:rsidRDefault="008B0567" w:rsidP="00C608D9">
      <w:pPr>
        <w:spacing w:line="360" w:lineRule="auto"/>
      </w:pPr>
    </w:p>
    <w:p w14:paraId="27A774C5" w14:textId="08465FE8" w:rsidR="008B0567" w:rsidRDefault="008B0567" w:rsidP="00C608D9">
      <w:pPr>
        <w:spacing w:line="360" w:lineRule="auto"/>
      </w:pPr>
    </w:p>
    <w:p w14:paraId="0ED9FB82" w14:textId="5337D36B" w:rsidR="008B0567" w:rsidRDefault="008B0567" w:rsidP="00C608D9">
      <w:pPr>
        <w:spacing w:line="360" w:lineRule="auto"/>
      </w:pPr>
    </w:p>
    <w:p w14:paraId="1FB67EC6" w14:textId="37D05E8D" w:rsidR="008B0567" w:rsidRDefault="008B0567" w:rsidP="00C608D9">
      <w:pPr>
        <w:spacing w:line="360" w:lineRule="auto"/>
      </w:pPr>
    </w:p>
    <w:p w14:paraId="4FC82269" w14:textId="7A78048F" w:rsidR="008B0567" w:rsidRDefault="008B0567" w:rsidP="00C608D9">
      <w:pPr>
        <w:spacing w:line="360" w:lineRule="auto"/>
      </w:pPr>
    </w:p>
    <w:p w14:paraId="6953E18D" w14:textId="7B8806A1" w:rsidR="008B0567" w:rsidRDefault="008B0567" w:rsidP="00C608D9">
      <w:pPr>
        <w:spacing w:line="360" w:lineRule="auto"/>
      </w:pPr>
    </w:p>
    <w:p w14:paraId="2C7336CB" w14:textId="026A82B4" w:rsidR="008B0567" w:rsidRDefault="008B0567" w:rsidP="00C608D9">
      <w:pPr>
        <w:spacing w:line="360" w:lineRule="auto"/>
      </w:pPr>
    </w:p>
    <w:p w14:paraId="4B24E3F2" w14:textId="560F6E53" w:rsidR="008B0567" w:rsidRDefault="008B0567" w:rsidP="00C608D9">
      <w:pPr>
        <w:spacing w:line="360" w:lineRule="auto"/>
      </w:pPr>
    </w:p>
    <w:p w14:paraId="290848FC" w14:textId="477483E5" w:rsidR="008B0567" w:rsidRDefault="008B0567" w:rsidP="00C608D9">
      <w:pPr>
        <w:spacing w:line="360" w:lineRule="auto"/>
      </w:pPr>
    </w:p>
    <w:p w14:paraId="5BF4B358" w14:textId="1FB5DE04" w:rsidR="008B0567" w:rsidRDefault="008B0567" w:rsidP="00C608D9">
      <w:pPr>
        <w:spacing w:line="360" w:lineRule="auto"/>
      </w:pPr>
    </w:p>
    <w:p w14:paraId="1F130AE9" w14:textId="40E42B22" w:rsidR="008B0567" w:rsidRDefault="008B0567" w:rsidP="00C608D9">
      <w:pPr>
        <w:spacing w:line="360" w:lineRule="auto"/>
      </w:pPr>
    </w:p>
    <w:p w14:paraId="0C579B16" w14:textId="47FC8571" w:rsidR="008B0567" w:rsidRDefault="008B0567" w:rsidP="00C608D9">
      <w:pPr>
        <w:spacing w:line="360" w:lineRule="auto"/>
      </w:pPr>
    </w:p>
    <w:p w14:paraId="3D982A13" w14:textId="1192F592" w:rsidR="00F53913" w:rsidRDefault="00F53913" w:rsidP="00C608D9">
      <w:pPr>
        <w:spacing w:line="360" w:lineRule="auto"/>
      </w:pPr>
    </w:p>
    <w:p w14:paraId="4DE38D46" w14:textId="296FD0E0" w:rsidR="00F53913" w:rsidRDefault="00F53913" w:rsidP="00C608D9">
      <w:pPr>
        <w:spacing w:line="360" w:lineRule="auto"/>
      </w:pPr>
    </w:p>
    <w:p w14:paraId="41ACF0E0" w14:textId="7C235F98" w:rsidR="00F53913" w:rsidRDefault="00F53913" w:rsidP="00C608D9">
      <w:pPr>
        <w:spacing w:line="360" w:lineRule="auto"/>
      </w:pPr>
    </w:p>
    <w:p w14:paraId="74174852" w14:textId="3C3E669A" w:rsidR="005907BA" w:rsidRDefault="005907BA" w:rsidP="00C608D9">
      <w:pPr>
        <w:spacing w:line="360" w:lineRule="auto"/>
      </w:pPr>
    </w:p>
    <w:p w14:paraId="6F4C6EAD" w14:textId="64656D10" w:rsidR="00F53913" w:rsidRDefault="00F53913" w:rsidP="00C608D9">
      <w:pPr>
        <w:spacing w:line="360" w:lineRule="auto"/>
      </w:pPr>
    </w:p>
    <w:p w14:paraId="2215DB6D" w14:textId="77777777" w:rsidR="000E3083" w:rsidRDefault="000E3083" w:rsidP="00C608D9">
      <w:pPr>
        <w:spacing w:line="360" w:lineRule="auto"/>
      </w:pPr>
    </w:p>
    <w:p w14:paraId="37CDC8CE" w14:textId="6B22554B" w:rsidR="00BE5B77" w:rsidRPr="000F702A" w:rsidRDefault="00152092" w:rsidP="000F702A">
      <w:pPr>
        <w:pStyle w:val="Heading1"/>
        <w:rPr>
          <w:rFonts w:ascii="Times New Roman" w:hAnsi="Times New Roman" w:cs="Times New Roman"/>
          <w:b/>
          <w:bCs/>
          <w:color w:val="000000" w:themeColor="text1"/>
          <w:sz w:val="24"/>
          <w:szCs w:val="24"/>
          <w:u w:val="single"/>
        </w:rPr>
      </w:pPr>
      <w:bookmarkStart w:id="3" w:name="_Toc102301199"/>
      <w:bookmarkStart w:id="4" w:name="_Toc103963041"/>
      <w:r w:rsidRPr="000F702A">
        <w:rPr>
          <w:rFonts w:ascii="Times New Roman" w:hAnsi="Times New Roman" w:cs="Times New Roman"/>
          <w:b/>
          <w:bCs/>
          <w:color w:val="000000" w:themeColor="text1"/>
          <w:sz w:val="24"/>
          <w:szCs w:val="24"/>
          <w:u w:val="single"/>
        </w:rPr>
        <w:lastRenderedPageBreak/>
        <w:t xml:space="preserve">2. </w:t>
      </w:r>
      <w:bookmarkEnd w:id="3"/>
      <w:r w:rsidR="004056C2">
        <w:rPr>
          <w:rFonts w:ascii="Times New Roman" w:hAnsi="Times New Roman" w:cs="Times New Roman"/>
          <w:b/>
          <w:bCs/>
          <w:color w:val="000000" w:themeColor="text1"/>
          <w:sz w:val="24"/>
          <w:szCs w:val="24"/>
          <w:u w:val="single"/>
        </w:rPr>
        <w:t>Hypothesis Development</w:t>
      </w:r>
      <w:bookmarkEnd w:id="4"/>
    </w:p>
    <w:p w14:paraId="7AE7E86F" w14:textId="3D6C8A2E" w:rsidR="00152092" w:rsidRDefault="00152092" w:rsidP="00C608D9">
      <w:pPr>
        <w:spacing w:line="360" w:lineRule="auto"/>
        <w:rPr>
          <w:b/>
          <w:bCs/>
          <w:u w:val="single"/>
        </w:rPr>
      </w:pPr>
    </w:p>
    <w:p w14:paraId="07FDE43A" w14:textId="32292C8F" w:rsidR="00A22287" w:rsidRDefault="00A22287" w:rsidP="00C608D9">
      <w:pPr>
        <w:spacing w:line="360" w:lineRule="auto"/>
        <w:rPr>
          <w:b/>
          <w:bCs/>
          <w:u w:val="single"/>
        </w:rPr>
      </w:pPr>
    </w:p>
    <w:p w14:paraId="2763204B" w14:textId="6CE57DE8" w:rsidR="00A22287" w:rsidRPr="000F702A" w:rsidRDefault="00A22287" w:rsidP="00A22287">
      <w:pPr>
        <w:pStyle w:val="Heading2"/>
        <w:rPr>
          <w:rFonts w:ascii="Times New Roman" w:hAnsi="Times New Roman" w:cs="Times New Roman"/>
          <w:b/>
          <w:bCs/>
          <w:color w:val="000000" w:themeColor="text1"/>
          <w:sz w:val="24"/>
          <w:szCs w:val="24"/>
        </w:rPr>
      </w:pPr>
      <w:bookmarkStart w:id="5" w:name="_Toc102301202"/>
      <w:bookmarkStart w:id="6" w:name="_Toc103963042"/>
      <w:r w:rsidRPr="000F702A">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1</w:t>
      </w:r>
      <w:r w:rsidRPr="000F702A">
        <w:rPr>
          <w:rFonts w:ascii="Times New Roman" w:hAnsi="Times New Roman" w:cs="Times New Roman"/>
          <w:b/>
          <w:bCs/>
          <w:color w:val="000000" w:themeColor="text1"/>
          <w:sz w:val="24"/>
          <w:szCs w:val="24"/>
        </w:rPr>
        <w:t xml:space="preserve"> </w:t>
      </w:r>
      <w:proofErr w:type="spellStart"/>
      <w:r w:rsidRPr="000F702A">
        <w:rPr>
          <w:rFonts w:ascii="Times New Roman" w:hAnsi="Times New Roman" w:cs="Times New Roman"/>
          <w:b/>
          <w:bCs/>
          <w:color w:val="000000" w:themeColor="text1"/>
          <w:sz w:val="24"/>
          <w:szCs w:val="24"/>
        </w:rPr>
        <w:t>Fama</w:t>
      </w:r>
      <w:proofErr w:type="spellEnd"/>
      <w:r w:rsidRPr="000F702A">
        <w:rPr>
          <w:rFonts w:ascii="Times New Roman" w:hAnsi="Times New Roman" w:cs="Times New Roman"/>
          <w:b/>
          <w:bCs/>
          <w:color w:val="000000" w:themeColor="text1"/>
          <w:sz w:val="24"/>
          <w:szCs w:val="24"/>
        </w:rPr>
        <w:t>-French Five</w:t>
      </w:r>
      <w:r>
        <w:rPr>
          <w:rFonts w:ascii="Times New Roman" w:hAnsi="Times New Roman" w:cs="Times New Roman"/>
          <w:b/>
          <w:bCs/>
          <w:color w:val="000000" w:themeColor="text1"/>
          <w:sz w:val="24"/>
          <w:szCs w:val="24"/>
        </w:rPr>
        <w:t xml:space="preserve"> Factor</w:t>
      </w:r>
      <w:r w:rsidRPr="000F702A">
        <w:rPr>
          <w:rFonts w:ascii="Times New Roman" w:hAnsi="Times New Roman" w:cs="Times New Roman"/>
          <w:b/>
          <w:bCs/>
          <w:color w:val="000000" w:themeColor="text1"/>
          <w:sz w:val="24"/>
          <w:szCs w:val="24"/>
        </w:rPr>
        <w:t xml:space="preserve"> Model</w:t>
      </w:r>
      <w:bookmarkEnd w:id="5"/>
      <w:bookmarkEnd w:id="6"/>
    </w:p>
    <w:p w14:paraId="20DA95F8" w14:textId="77777777" w:rsidR="00A22287" w:rsidRDefault="00A22287" w:rsidP="00A22287">
      <w:pPr>
        <w:spacing w:line="360" w:lineRule="auto"/>
        <w:rPr>
          <w:b/>
          <w:bCs/>
        </w:rPr>
      </w:pPr>
      <w:r>
        <w:rPr>
          <w:b/>
          <w:bCs/>
        </w:rPr>
        <w:tab/>
      </w:r>
    </w:p>
    <w:p w14:paraId="3C90B77A" w14:textId="11EDC9BD" w:rsidR="00A22287" w:rsidRDefault="00A22287" w:rsidP="00A22287">
      <w:pPr>
        <w:spacing w:line="360" w:lineRule="auto"/>
      </w:pPr>
      <w:r>
        <w:rPr>
          <w:b/>
          <w:bCs/>
        </w:rPr>
        <w:tab/>
      </w:r>
      <w:r>
        <w:t xml:space="preserve">The original </w:t>
      </w:r>
      <w:proofErr w:type="spellStart"/>
      <w:r>
        <w:t>Fama</w:t>
      </w:r>
      <w:proofErr w:type="spellEnd"/>
      <w:r>
        <w:t xml:space="preserve">-French model, built by the University of Chicago academics, had 3 factors. Firstly, </w:t>
      </w:r>
      <w:proofErr w:type="spellStart"/>
      <w:r>
        <w:t>Fama</w:t>
      </w:r>
      <w:proofErr w:type="spellEnd"/>
      <w:r>
        <w:t xml:space="preserve"> and French looked into the traditional capital asset pricing model (CAPM) formula, which predicts expected returns for an asset based on the market premium adjusted to the asset sensibility with the market plus the risk-free rate (Sharpe, 1964), (Lintner, 1965)</w:t>
      </w:r>
    </w:p>
    <w:p w14:paraId="16DB857C" w14:textId="77777777" w:rsidR="00A22287" w:rsidRPr="006E2421" w:rsidRDefault="00A22287" w:rsidP="00A22287">
      <w:pPr>
        <w:spacing w:line="360" w:lineRule="auto"/>
      </w:pPr>
    </w:p>
    <w:p w14:paraId="7E9CA86E" w14:textId="77777777" w:rsidR="00A22287" w:rsidRPr="006E2421" w:rsidRDefault="00A22287" w:rsidP="00A22287">
      <w:pPr>
        <w:spacing w:line="360" w:lineRule="auto"/>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5AF6819D" w14:textId="77777777" w:rsidR="00A22287" w:rsidRPr="00913782" w:rsidRDefault="00A22287" w:rsidP="00A22287">
      <w:pPr>
        <w:spacing w:line="360" w:lineRule="auto"/>
      </w:pPr>
    </w:p>
    <w:p w14:paraId="3DD75567" w14:textId="77777777" w:rsidR="00A22287" w:rsidRPr="00913782" w:rsidRDefault="00A22287" w:rsidP="00A22287">
      <w:pPr>
        <w:spacing w:line="360" w:lineRule="auto"/>
        <w:rPr>
          <w:sz w:val="22"/>
          <w:szCs w:val="22"/>
        </w:rPr>
      </w:pPr>
      <m:oMathPara>
        <m:oMathParaPr>
          <m:jc m:val="left"/>
        </m:oMathParaPr>
        <m:oMath>
          <m:r>
            <w:rPr>
              <w:rFonts w:ascii="Cambria Math" w:hAnsi="Cambria Math"/>
              <w:sz w:val="22"/>
              <w:szCs w:val="22"/>
            </w:rPr>
            <m:t>E</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e>
          </m:d>
          <m:r>
            <w:rPr>
              <w:rFonts w:ascii="Cambria Math" w:hAnsi="Cambria Math"/>
              <w:sz w:val="22"/>
              <w:szCs w:val="22"/>
            </w:rPr>
            <m:t>=Expected return</m:t>
          </m:r>
        </m:oMath>
      </m:oMathPara>
    </w:p>
    <w:p w14:paraId="08F42371" w14:textId="77777777" w:rsidR="00A22287" w:rsidRPr="00913782" w:rsidRDefault="00A22287" w:rsidP="00A22287">
      <w:pPr>
        <w:spacing w:line="360" w:lineRule="auto"/>
        <w:rPr>
          <w:sz w:val="22"/>
          <w:szCs w:val="22"/>
        </w:rPr>
      </w:pPr>
      <m:oMathPara>
        <m:oMathParaPr>
          <m:jc m:val="left"/>
        </m:oMathParaP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r>
            <w:rPr>
              <w:rFonts w:ascii="Cambria Math" w:hAnsi="Cambria Math"/>
              <w:sz w:val="22"/>
              <w:szCs w:val="22"/>
            </w:rPr>
            <m:t>=Risk free rate</m:t>
          </m:r>
        </m:oMath>
      </m:oMathPara>
    </w:p>
    <w:p w14:paraId="1900636B" w14:textId="77777777" w:rsidR="00A22287" w:rsidRPr="00913782" w:rsidRDefault="00D808CD" w:rsidP="00A22287">
      <w:pPr>
        <w:spacing w:line="36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r>
            <w:rPr>
              <w:rFonts w:ascii="Cambria Math" w:hAnsi="Cambria Math"/>
              <w:sz w:val="22"/>
              <w:szCs w:val="22"/>
            </w:rPr>
            <m:t>=Capital asset beta to the market</m:t>
          </m:r>
        </m:oMath>
      </m:oMathPara>
    </w:p>
    <w:p w14:paraId="3EF2D0A5" w14:textId="77777777" w:rsidR="00A22287" w:rsidRPr="00913782" w:rsidRDefault="00A22287" w:rsidP="00A22287">
      <w:pPr>
        <w:spacing w:line="360" w:lineRule="auto"/>
        <w:rPr>
          <w:sz w:val="22"/>
          <w:szCs w:val="22"/>
        </w:rPr>
      </w:pPr>
      <m:oMathPara>
        <m:oMathParaPr>
          <m:jc m:val="left"/>
        </m:oMathParaPr>
        <m:oMath>
          <m:r>
            <w:rPr>
              <w:rFonts w:ascii="Cambria Math" w:hAnsi="Cambria Math"/>
              <w:sz w:val="22"/>
              <w:szCs w:val="22"/>
            </w:rPr>
            <m:t>E</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m:t>
                  </m:r>
                </m:sub>
              </m:sSub>
            </m:e>
          </m:d>
          <m:r>
            <w:rPr>
              <w:rFonts w:ascii="Cambria Math" w:hAnsi="Cambria Math"/>
              <w:sz w:val="22"/>
              <w:szCs w:val="22"/>
            </w:rPr>
            <m:t>=Expected return on the market</m:t>
          </m:r>
        </m:oMath>
      </m:oMathPara>
    </w:p>
    <w:p w14:paraId="043B1C71" w14:textId="77777777" w:rsidR="00A22287" w:rsidRPr="00913782" w:rsidRDefault="00D808CD" w:rsidP="00A22287">
      <w:pPr>
        <w:spacing w:line="360" w:lineRule="auto"/>
        <w:rPr>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E</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e>
          </m:d>
          <m:r>
            <w:rPr>
              <w:rFonts w:ascii="Cambria Math" w:hAnsi="Cambria Math"/>
              <w:sz w:val="22"/>
              <w:szCs w:val="22"/>
            </w:rPr>
            <m:t>=Expected market premium</m:t>
          </m:r>
        </m:oMath>
      </m:oMathPara>
    </w:p>
    <w:p w14:paraId="6ABECE00" w14:textId="77777777" w:rsidR="00A22287" w:rsidRPr="00913782" w:rsidRDefault="00A22287" w:rsidP="00A22287">
      <w:pPr>
        <w:spacing w:line="360" w:lineRule="auto"/>
      </w:pPr>
    </w:p>
    <w:p w14:paraId="251C568D" w14:textId="3B8FAB8E" w:rsidR="00C83FFE" w:rsidRDefault="00A22287" w:rsidP="00A22287">
      <w:pPr>
        <w:spacing w:line="360" w:lineRule="auto"/>
      </w:pPr>
      <w:r>
        <w:t xml:space="preserve">Then, </w:t>
      </w:r>
      <w:proofErr w:type="spellStart"/>
      <w:r>
        <w:t>Fama</w:t>
      </w:r>
      <w:proofErr w:type="spellEnd"/>
      <w:r>
        <w:t xml:space="preserve"> and French (1993), based on historical stock returns, came to the conclusion that stocks from small sized firms (small caps) and high book-to-market value firms (value stocks) overperformed the market. Consequently, they decided to add these two factors to the CAPM equation in order to, hopefully, build a better asset pricing model, that is, a model able to explain as many of the returns from a portfolio as possible. The first factor, size, subtracts the big cap historical returns to the small caps historical results, and it is abbreviated as SMB. The second factor, measures the historic returns of value stocks minus those from growth stock, and uses the abbreviation HML (high book-to-market minus low book-to-market). The model that contributed towards Dr. </w:t>
      </w:r>
      <w:proofErr w:type="spellStart"/>
      <w:r>
        <w:t>Fama</w:t>
      </w:r>
      <w:proofErr w:type="spellEnd"/>
      <w:r>
        <w:t xml:space="preserve"> receiving the Nobel Prize in Economic Sciences, can be seen below:</w:t>
      </w:r>
    </w:p>
    <w:p w14:paraId="736F8AD1" w14:textId="77777777" w:rsidR="00A22287" w:rsidRDefault="00A22287" w:rsidP="00A22287">
      <w:pPr>
        <w:spacing w:line="360" w:lineRule="auto"/>
      </w:pPr>
    </w:p>
    <w:p w14:paraId="192D5855" w14:textId="77777777" w:rsidR="00A22287" w:rsidRPr="0042583A" w:rsidRDefault="00D808CD" w:rsidP="00A22287">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d>
                <m:dPr>
                  <m:ctrlPr>
                    <w:rPr>
                      <w:rFonts w:ascii="Cambria Math" w:hAnsi="Cambria Math"/>
                      <w:i/>
                    </w:rPr>
                  </m:ctrlPr>
                </m:dPr>
                <m:e>
                  <m:r>
                    <w:rPr>
                      <w:rFonts w:ascii="Cambria Math" w:hAnsi="Cambria Math"/>
                    </w:rPr>
                    <m:t>t</m:t>
                  </m:r>
                </m:e>
              </m:d>
            </m:sub>
          </m:sSub>
          <m:r>
            <w:rPr>
              <w:rFonts w:ascii="Cambria Math" w:hAnsi="Cambria Math"/>
            </w:rPr>
            <m:t xml:space="preserve">= α+ </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1</m:t>
                  </m:r>
                </m:e>
              </m:d>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d>
                    <m:dPr>
                      <m:ctrlPr>
                        <w:rPr>
                          <w:rFonts w:ascii="Cambria Math" w:hAnsi="Cambria Math"/>
                          <w:i/>
                        </w:rPr>
                      </m:ctrlPr>
                    </m:dPr>
                    <m:e>
                      <m:r>
                        <w:rPr>
                          <w:rFonts w:ascii="Cambria Math" w:hAnsi="Cambria Math"/>
                        </w:rPr>
                        <m:t>t</m:t>
                      </m:r>
                    </m:e>
                  </m:d>
                </m:sub>
              </m:sSub>
            </m:e>
          </m:d>
          <m:r>
            <w:rPr>
              <w:rFonts w:ascii="Cambria Math" w:hAnsi="Cambria Math"/>
            </w:rPr>
            <m:t>+</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2</m:t>
                  </m:r>
                </m:e>
              </m:d>
            </m:sub>
          </m:sSub>
          <m:sSub>
            <m:sSubPr>
              <m:ctrlPr>
                <w:rPr>
                  <w:rFonts w:ascii="Cambria Math" w:hAnsi="Cambria Math"/>
                  <w:i/>
                </w:rPr>
              </m:ctrlPr>
            </m:sSubPr>
            <m:e>
              <m:r>
                <w:rPr>
                  <w:rFonts w:ascii="Cambria Math" w:hAnsi="Cambria Math"/>
                </w:rPr>
                <m:t>SMB</m:t>
              </m:r>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3</m:t>
                  </m:r>
                </m:e>
              </m:d>
            </m:sub>
          </m:sSub>
          <m:sSub>
            <m:sSubPr>
              <m:ctrlPr>
                <w:rPr>
                  <w:rFonts w:ascii="Cambria Math" w:hAnsi="Cambria Math"/>
                  <w:i/>
                </w:rPr>
              </m:ctrlPr>
            </m:sSubPr>
            <m:e>
              <m:r>
                <w:rPr>
                  <w:rFonts w:ascii="Cambria Math" w:hAnsi="Cambria Math"/>
                </w:rPr>
                <m:t>HML</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7BA277A3" w14:textId="77777777" w:rsidR="00A22287" w:rsidRDefault="00A22287" w:rsidP="00A22287">
      <w:pPr>
        <w:spacing w:line="360" w:lineRule="auto"/>
        <w:rPr>
          <w:i/>
          <w:iCs/>
        </w:rPr>
      </w:pPr>
    </w:p>
    <w:p w14:paraId="22D4A25A" w14:textId="77777777" w:rsidR="00A22287" w:rsidRPr="0042583A" w:rsidRDefault="00A22287" w:rsidP="00A22287">
      <w:pPr>
        <w:spacing w:line="360" w:lineRule="auto"/>
        <w:rPr>
          <w:i/>
          <w:iCs/>
        </w:rPr>
      </w:pPr>
      <w:r w:rsidRPr="008A01C0">
        <w:rPr>
          <w:i/>
          <w:iCs/>
          <w:sz w:val="20"/>
          <w:szCs w:val="20"/>
        </w:rPr>
        <w:t xml:space="preserve">As seen in “Common risk factors in the returns on stocks and bonds” by </w:t>
      </w:r>
      <w:proofErr w:type="spellStart"/>
      <w:r w:rsidRPr="008A01C0">
        <w:rPr>
          <w:i/>
          <w:iCs/>
          <w:sz w:val="20"/>
          <w:szCs w:val="20"/>
        </w:rPr>
        <w:t>Fama</w:t>
      </w:r>
      <w:proofErr w:type="spellEnd"/>
      <w:r w:rsidRPr="008A01C0">
        <w:rPr>
          <w:i/>
          <w:iCs/>
          <w:sz w:val="20"/>
          <w:szCs w:val="20"/>
        </w:rPr>
        <w:t xml:space="preserve"> &amp; French, 1993</w:t>
      </w:r>
      <w:r>
        <w:rPr>
          <w:i/>
          <w:iCs/>
        </w:rPr>
        <w:t>.</w:t>
      </w:r>
    </w:p>
    <w:p w14:paraId="52650D2B" w14:textId="77777777" w:rsidR="00A22287" w:rsidRPr="0042583A" w:rsidRDefault="00A22287" w:rsidP="00A22287">
      <w:pPr>
        <w:spacing w:line="360" w:lineRule="auto"/>
      </w:pPr>
    </w:p>
    <w:p w14:paraId="09B7067D" w14:textId="77777777" w:rsidR="00A22287" w:rsidRPr="008A01C0" w:rsidRDefault="00A22287" w:rsidP="00A22287">
      <w:pPr>
        <w:spacing w:line="360" w:lineRule="auto"/>
        <w:rPr>
          <w:sz w:val="22"/>
          <w:szCs w:val="22"/>
        </w:rPr>
      </w:pPr>
      <m:oMathPara>
        <m:oMathParaPr>
          <m:jc m:val="left"/>
        </m:oMathParaPr>
        <m:oMath>
          <m:r>
            <w:rPr>
              <w:rFonts w:ascii="Cambria Math" w:hAnsi="Cambria Math"/>
              <w:sz w:val="22"/>
              <w:szCs w:val="22"/>
            </w:rPr>
            <w:lastRenderedPageBreak/>
            <m:t>t=Time period</m:t>
          </m:r>
        </m:oMath>
      </m:oMathPara>
    </w:p>
    <w:p w14:paraId="4D80910C" w14:textId="77777777" w:rsidR="00A22287" w:rsidRPr="008A01C0" w:rsidRDefault="00D808CD" w:rsidP="00A22287">
      <w:pPr>
        <w:spacing w:line="360" w:lineRule="auto"/>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(1,2,3)</m:t>
              </m:r>
            </m:sub>
          </m:sSub>
          <m:r>
            <w:rPr>
              <w:rFonts w:ascii="Cambria Math" w:hAnsi="Cambria Math"/>
              <w:sz w:val="22"/>
              <w:szCs w:val="22"/>
            </w:rPr>
            <m:t>=Sensibility coefficients</m:t>
          </m:r>
        </m:oMath>
      </m:oMathPara>
    </w:p>
    <w:p w14:paraId="58495692" w14:textId="77777777" w:rsidR="00A22287" w:rsidRPr="008A01C0" w:rsidRDefault="00A22287" w:rsidP="00A22287">
      <w:pPr>
        <w:spacing w:line="360" w:lineRule="auto"/>
        <w:rPr>
          <w:sz w:val="22"/>
          <w:szCs w:val="22"/>
        </w:rPr>
      </w:pPr>
      <m:oMathPara>
        <m:oMathParaPr>
          <m:jc m:val="left"/>
        </m:oMathParaPr>
        <m:oMath>
          <m:r>
            <w:rPr>
              <w:rFonts w:ascii="Cambria Math" w:hAnsi="Cambria Math"/>
              <w:sz w:val="22"/>
              <w:szCs w:val="22"/>
            </w:rPr>
            <m:t>SMB=Size factor</m:t>
          </m:r>
        </m:oMath>
      </m:oMathPara>
    </w:p>
    <w:p w14:paraId="108AF762" w14:textId="77777777" w:rsidR="00A22287" w:rsidRPr="008A01C0" w:rsidRDefault="00A22287" w:rsidP="00A22287">
      <w:pPr>
        <w:spacing w:line="360" w:lineRule="auto"/>
        <w:rPr>
          <w:sz w:val="22"/>
          <w:szCs w:val="22"/>
        </w:rPr>
      </w:pPr>
      <m:oMathPara>
        <m:oMathParaPr>
          <m:jc m:val="left"/>
        </m:oMathParaPr>
        <m:oMath>
          <m:r>
            <w:rPr>
              <w:rFonts w:ascii="Cambria Math" w:hAnsi="Cambria Math"/>
              <w:sz w:val="22"/>
              <w:szCs w:val="22"/>
            </w:rPr>
            <m:t>HML=Book-to-market factor</m:t>
          </m:r>
        </m:oMath>
      </m:oMathPara>
    </w:p>
    <w:p w14:paraId="3E4123FF" w14:textId="77777777" w:rsidR="00A22287" w:rsidRPr="008A01C0" w:rsidRDefault="00A22287" w:rsidP="00A22287">
      <w:pPr>
        <w:spacing w:line="360" w:lineRule="auto"/>
        <w:rPr>
          <w:sz w:val="22"/>
          <w:szCs w:val="22"/>
        </w:rPr>
      </w:pPr>
      <m:oMathPara>
        <m:oMathParaPr>
          <m:jc m:val="left"/>
        </m:oMathParaPr>
        <m:oMath>
          <m:r>
            <w:rPr>
              <w:rFonts w:ascii="Cambria Math" w:hAnsi="Cambria Math"/>
              <w:sz w:val="22"/>
              <w:szCs w:val="22"/>
            </w:rPr>
            <m:t>e=Error term</m:t>
          </m:r>
        </m:oMath>
      </m:oMathPara>
    </w:p>
    <w:p w14:paraId="26D09BF1" w14:textId="77777777" w:rsidR="00A22287" w:rsidRDefault="00A22287" w:rsidP="00A22287">
      <w:pPr>
        <w:spacing w:line="360" w:lineRule="auto"/>
      </w:pPr>
    </w:p>
    <w:p w14:paraId="5EBA5F2D" w14:textId="77777777" w:rsidR="00A22287" w:rsidRDefault="00A22287" w:rsidP="00A22287">
      <w:pPr>
        <w:spacing w:line="360" w:lineRule="auto"/>
      </w:pPr>
      <w:r>
        <w:t xml:space="preserve">Later in 2015, </w:t>
      </w:r>
      <w:proofErr w:type="spellStart"/>
      <w:r>
        <w:t>Fama</w:t>
      </w:r>
      <w:proofErr w:type="spellEnd"/>
      <w:r>
        <w:t xml:space="preserve"> and French came up with an updated version of their model. This time, the original factors remained, and as in the past they decided to add two more factors, profitability and investment patterns of the firm.  The first one refers to the difference between a portfolio composed of stocks with robust profitability and a portfolio of stock with weak profitability, this factor is abbreviated with RMW (robust minus weak). The second represents the difference between portfolio of stocks with a conservative approach towards investing minus a portfolio of stocks investing aggressively, the factor uses the abbreviation CMA (conservative minus aggressive). Below it can be seen the updated </w:t>
      </w:r>
      <w:proofErr w:type="spellStart"/>
      <w:r>
        <w:t>Fama</w:t>
      </w:r>
      <w:proofErr w:type="spellEnd"/>
      <w:r>
        <w:t>-French Model for a portfolio with the two new factors:</w:t>
      </w:r>
    </w:p>
    <w:p w14:paraId="2EE22321" w14:textId="77777777" w:rsidR="00A22287" w:rsidRDefault="00A22287" w:rsidP="00A22287">
      <w:pPr>
        <w:spacing w:line="360" w:lineRule="auto"/>
      </w:pPr>
    </w:p>
    <w:p w14:paraId="346A8467" w14:textId="77777777" w:rsidR="00A22287" w:rsidRDefault="00A22287" w:rsidP="00A22287">
      <w:pPr>
        <w:spacing w:line="360" w:lineRule="auto"/>
      </w:pPr>
    </w:p>
    <w:p w14:paraId="75662DF8" w14:textId="77777777" w:rsidR="00A22287" w:rsidRPr="006E2421" w:rsidRDefault="00D808CD" w:rsidP="00A22287">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d>
                <m:dPr>
                  <m:ctrlPr>
                    <w:rPr>
                      <w:rFonts w:ascii="Cambria Math" w:hAnsi="Cambria Math"/>
                      <w:i/>
                    </w:rPr>
                  </m:ctrlPr>
                </m:dPr>
                <m:e>
                  <m:r>
                    <w:rPr>
                      <w:rFonts w:ascii="Cambria Math" w:hAnsi="Cambria Math"/>
                    </w:rPr>
                    <m:t>t</m:t>
                  </m:r>
                </m:e>
              </m:d>
            </m:sub>
          </m:sSub>
          <m:r>
            <w:rPr>
              <w:rFonts w:ascii="Cambria Math" w:hAnsi="Cambria Math"/>
            </w:rPr>
            <m:t xml:space="preserve">= α+ </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1</m:t>
                  </m:r>
                </m:e>
              </m:d>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d>
                    <m:dPr>
                      <m:ctrlPr>
                        <w:rPr>
                          <w:rFonts w:ascii="Cambria Math" w:hAnsi="Cambria Math"/>
                          <w:i/>
                        </w:rPr>
                      </m:ctrlPr>
                    </m:dPr>
                    <m:e>
                      <m:r>
                        <w:rPr>
                          <w:rFonts w:ascii="Cambria Math" w:hAnsi="Cambria Math"/>
                        </w:rPr>
                        <m:t>t</m:t>
                      </m:r>
                    </m:e>
                  </m:d>
                </m:sub>
              </m:sSub>
            </m:e>
          </m:d>
          <m:r>
            <w:rPr>
              <w:rFonts w:ascii="Cambria Math" w:hAnsi="Cambria Math"/>
            </w:rPr>
            <m:t>+</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2</m:t>
                  </m:r>
                </m:e>
              </m:d>
            </m:sub>
          </m:sSub>
          <m:sSub>
            <m:sSubPr>
              <m:ctrlPr>
                <w:rPr>
                  <w:rFonts w:ascii="Cambria Math" w:hAnsi="Cambria Math"/>
                  <w:i/>
                </w:rPr>
              </m:ctrlPr>
            </m:sSubPr>
            <m:e>
              <m:r>
                <w:rPr>
                  <w:rFonts w:ascii="Cambria Math" w:hAnsi="Cambria Math"/>
                </w:rPr>
                <m:t>SMB</m:t>
              </m:r>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3</m:t>
                  </m:r>
                </m:e>
              </m:d>
            </m:sub>
          </m:sSub>
          <m:sSub>
            <m:sSubPr>
              <m:ctrlPr>
                <w:rPr>
                  <w:rFonts w:ascii="Cambria Math" w:hAnsi="Cambria Math"/>
                  <w:i/>
                </w:rPr>
              </m:ctrlPr>
            </m:sSubPr>
            <m:e>
              <m:r>
                <w:rPr>
                  <w:rFonts w:ascii="Cambria Math" w:hAnsi="Cambria Math"/>
                </w:rPr>
                <m:t>HML</m:t>
              </m:r>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4</m:t>
                  </m:r>
                </m:e>
              </m:d>
            </m:sub>
          </m:sSub>
          <m:sSub>
            <m:sSubPr>
              <m:ctrlPr>
                <w:rPr>
                  <w:rFonts w:ascii="Cambria Math" w:hAnsi="Cambria Math"/>
                  <w:i/>
                </w:rPr>
              </m:ctrlPr>
            </m:sSubPr>
            <m:e>
              <m:r>
                <w:rPr>
                  <w:rFonts w:ascii="Cambria Math" w:hAnsi="Cambria Math"/>
                </w:rPr>
                <m:t>RMW</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r>
                <w:rPr>
                  <w:rFonts w:ascii="Cambria Math" w:hAnsi="Cambria Math"/>
                </w:rPr>
                <m:t>β</m:t>
              </m:r>
            </m:e>
            <m:sub>
              <m:d>
                <m:dPr>
                  <m:ctrlPr>
                    <w:rPr>
                      <w:rFonts w:ascii="Cambria Math" w:hAnsi="Cambria Math"/>
                      <w:i/>
                    </w:rPr>
                  </m:ctrlPr>
                </m:dPr>
                <m:e>
                  <m:r>
                    <w:rPr>
                      <w:rFonts w:ascii="Cambria Math" w:hAnsi="Cambria Math"/>
                    </w:rPr>
                    <m:t>5</m:t>
                  </m:r>
                </m:e>
              </m:d>
            </m:sub>
          </m:sSub>
          <m:sSub>
            <m:sSubPr>
              <m:ctrlPr>
                <w:rPr>
                  <w:rFonts w:ascii="Cambria Math" w:hAnsi="Cambria Math"/>
                  <w:i/>
                </w:rPr>
              </m:ctrlPr>
            </m:sSubPr>
            <m:e>
              <m:r>
                <w:rPr>
                  <w:rFonts w:ascii="Cambria Math" w:hAnsi="Cambria Math"/>
                </w:rPr>
                <m:t>CMA</m:t>
              </m:r>
            </m:e>
            <m:sub>
              <m:d>
                <m:dPr>
                  <m:ctrlPr>
                    <w:rPr>
                      <w:rFonts w:ascii="Cambria Math" w:hAnsi="Cambria Math"/>
                      <w:i/>
                    </w:rPr>
                  </m:ctrlPr>
                </m:dPr>
                <m:e>
                  <m:r>
                    <w:rPr>
                      <w:rFonts w:ascii="Cambria Math" w:hAnsi="Cambria Math"/>
                    </w:rPr>
                    <m:t>t</m:t>
                  </m:r>
                </m:e>
              </m:d>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6BFE7907" w14:textId="77777777" w:rsidR="00A22287" w:rsidRDefault="00A22287" w:rsidP="00A22287">
      <w:pPr>
        <w:spacing w:line="360" w:lineRule="auto"/>
        <w:jc w:val="center"/>
      </w:pPr>
    </w:p>
    <w:p w14:paraId="1C75FE27" w14:textId="77777777" w:rsidR="00A22287" w:rsidRPr="00B2021D" w:rsidRDefault="00A22287" w:rsidP="00A22287">
      <w:pPr>
        <w:spacing w:line="360" w:lineRule="auto"/>
      </w:pPr>
      <w:r w:rsidRPr="008A01C0">
        <w:rPr>
          <w:i/>
          <w:iCs/>
          <w:sz w:val="20"/>
          <w:szCs w:val="20"/>
        </w:rPr>
        <w:t>As seen in “</w:t>
      </w:r>
      <w:r>
        <w:rPr>
          <w:i/>
          <w:iCs/>
          <w:sz w:val="20"/>
          <w:szCs w:val="20"/>
        </w:rPr>
        <w:t>A five-factor asset pricing model</w:t>
      </w:r>
      <w:r w:rsidRPr="008A01C0">
        <w:rPr>
          <w:i/>
          <w:iCs/>
          <w:sz w:val="20"/>
          <w:szCs w:val="20"/>
        </w:rPr>
        <w:t xml:space="preserve">” by </w:t>
      </w:r>
      <w:proofErr w:type="spellStart"/>
      <w:r w:rsidRPr="008A01C0">
        <w:rPr>
          <w:i/>
          <w:iCs/>
          <w:sz w:val="20"/>
          <w:szCs w:val="20"/>
        </w:rPr>
        <w:t>Fama</w:t>
      </w:r>
      <w:proofErr w:type="spellEnd"/>
      <w:r w:rsidRPr="008A01C0">
        <w:rPr>
          <w:i/>
          <w:iCs/>
          <w:sz w:val="20"/>
          <w:szCs w:val="20"/>
        </w:rPr>
        <w:t xml:space="preserve"> &amp; French, </w:t>
      </w:r>
      <w:r>
        <w:rPr>
          <w:i/>
          <w:iCs/>
          <w:sz w:val="20"/>
          <w:szCs w:val="20"/>
        </w:rPr>
        <w:t>2015</w:t>
      </w:r>
    </w:p>
    <w:p w14:paraId="75A3D457" w14:textId="77777777" w:rsidR="00A22287" w:rsidRDefault="00A22287" w:rsidP="00A22287">
      <w:pPr>
        <w:spacing w:line="360" w:lineRule="auto"/>
      </w:pPr>
    </w:p>
    <w:p w14:paraId="2915F3F6" w14:textId="77777777" w:rsidR="00A22287" w:rsidRPr="006E2421" w:rsidRDefault="00A22287" w:rsidP="00A22287">
      <w:pPr>
        <w:spacing w:line="360" w:lineRule="auto"/>
        <w:rPr>
          <w:sz w:val="22"/>
          <w:szCs w:val="22"/>
        </w:rPr>
      </w:pPr>
      <m:oMathPara>
        <m:oMathParaPr>
          <m:jc m:val="left"/>
        </m:oMathParaPr>
        <m:oMath>
          <m:r>
            <w:rPr>
              <w:rFonts w:ascii="Cambria Math" w:hAnsi="Cambria Math"/>
              <w:sz w:val="22"/>
              <w:szCs w:val="22"/>
            </w:rPr>
            <m:t>RMW=Proffitability factor</m:t>
          </m:r>
        </m:oMath>
      </m:oMathPara>
    </w:p>
    <w:p w14:paraId="4A3CDCA3" w14:textId="77777777" w:rsidR="00A22287" w:rsidRPr="006E2421" w:rsidRDefault="00A22287" w:rsidP="00A22287">
      <w:pPr>
        <w:spacing w:line="360" w:lineRule="auto"/>
        <w:rPr>
          <w:sz w:val="22"/>
          <w:szCs w:val="22"/>
        </w:rPr>
      </w:pPr>
      <m:oMathPara>
        <m:oMathParaPr>
          <m:jc m:val="left"/>
        </m:oMathParaPr>
        <m:oMath>
          <m:r>
            <w:rPr>
              <w:rFonts w:ascii="Cambria Math" w:hAnsi="Cambria Math"/>
              <w:sz w:val="22"/>
              <w:szCs w:val="22"/>
            </w:rPr>
            <m:t>CMA=Investing pattern factor</m:t>
          </m:r>
        </m:oMath>
      </m:oMathPara>
    </w:p>
    <w:p w14:paraId="1BE942DE" w14:textId="77777777" w:rsidR="00A22287" w:rsidRDefault="00A22287" w:rsidP="00A22287">
      <w:pPr>
        <w:spacing w:line="360" w:lineRule="auto"/>
      </w:pPr>
    </w:p>
    <w:p w14:paraId="5EB6F678" w14:textId="562CBAC7" w:rsidR="00A22287" w:rsidRDefault="00A22287" w:rsidP="00A22287">
      <w:pPr>
        <w:spacing w:line="360" w:lineRule="auto"/>
      </w:pPr>
      <w:r>
        <w:t xml:space="preserve">This </w:t>
      </w:r>
      <w:proofErr w:type="spellStart"/>
      <w:r>
        <w:t>Fama</w:t>
      </w:r>
      <w:proofErr w:type="spellEnd"/>
      <w:r>
        <w:t xml:space="preserve"> and French model (2015) is used to capture the patterns in average stock returns for each one of the factor characteristics. It is able to explain over 70% of the variance in expected returns for size, book-to-market, profitability and investment pattern. Their model is based on the fact that the long leg of </w:t>
      </w:r>
      <w:proofErr w:type="spellStart"/>
      <w:r>
        <w:t>Fama</w:t>
      </w:r>
      <w:proofErr w:type="spellEnd"/>
      <w:r>
        <w:t xml:space="preserve">-French, that is value, small cap, profitable, and conservative investing stocks outperform the market. Based on this fact, it takes into account the risk for the four factors, besides market risk, and adjust the expected return to it. This model is described as specific to long term investing, since in this time span and with a diversified enough portfolio, investors will be able to ride over </w:t>
      </w:r>
      <w:r w:rsidR="00BE439D">
        <w:t>short-term</w:t>
      </w:r>
      <w:r>
        <w:t xml:space="preserve"> volatility.</w:t>
      </w:r>
    </w:p>
    <w:p w14:paraId="2C1A3FCC" w14:textId="77777777" w:rsidR="00A22287" w:rsidRDefault="00A22287" w:rsidP="00A22287">
      <w:pPr>
        <w:spacing w:line="360" w:lineRule="auto"/>
      </w:pPr>
    </w:p>
    <w:p w14:paraId="060E45A9" w14:textId="2A61F374" w:rsidR="00A22287" w:rsidRDefault="00A22287" w:rsidP="00A22287">
      <w:pPr>
        <w:spacing w:line="360" w:lineRule="auto"/>
      </w:pPr>
      <w:r>
        <w:lastRenderedPageBreak/>
        <w:t>As we have seen in the descriptions</w:t>
      </w:r>
      <w:r w:rsidR="00C90D1E">
        <w:t>,</w:t>
      </w:r>
      <w:r>
        <w:t xml:space="preserve"> each factor is built by going long on a portfolio of stocks and shorting another with the opposite characteristic. Therefore, assembling the groups of stocks that </w:t>
      </w:r>
      <w:proofErr w:type="spellStart"/>
      <w:r>
        <w:t>Fama</w:t>
      </w:r>
      <w:proofErr w:type="spellEnd"/>
      <w:r>
        <w:t xml:space="preserve"> and French (2015) go long, results in the </w:t>
      </w:r>
      <w:proofErr w:type="spellStart"/>
      <w:r>
        <w:t>Fama</w:t>
      </w:r>
      <w:proofErr w:type="spellEnd"/>
      <w:r>
        <w:t xml:space="preserve">-French long leg. Nevertheless, if you group the opposite then one gets the </w:t>
      </w:r>
      <w:proofErr w:type="spellStart"/>
      <w:r>
        <w:t>Fama</w:t>
      </w:r>
      <w:proofErr w:type="spellEnd"/>
      <w:r>
        <w:t xml:space="preserve">-French short leg. </w:t>
      </w:r>
    </w:p>
    <w:p w14:paraId="6C9321FC" w14:textId="77777777" w:rsidR="00A22287" w:rsidRDefault="00A22287" w:rsidP="00A22287">
      <w:pPr>
        <w:spacing w:line="360" w:lineRule="auto"/>
      </w:pPr>
    </w:p>
    <w:tbl>
      <w:tblPr>
        <w:tblStyle w:val="TableGrid"/>
        <w:tblW w:w="9493"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843"/>
        <w:gridCol w:w="1559"/>
        <w:gridCol w:w="1985"/>
        <w:gridCol w:w="2835"/>
      </w:tblGrid>
      <w:tr w:rsidR="00A22287" w14:paraId="5302B93E" w14:textId="77777777" w:rsidTr="000E3083">
        <w:tc>
          <w:tcPr>
            <w:tcW w:w="1271" w:type="dxa"/>
            <w:tcBorders>
              <w:top w:val="double" w:sz="4" w:space="0" w:color="auto"/>
              <w:bottom w:val="double" w:sz="4" w:space="0" w:color="auto"/>
            </w:tcBorders>
            <w:vAlign w:val="bottom"/>
          </w:tcPr>
          <w:p w14:paraId="638BA639" w14:textId="77777777" w:rsidR="00A22287" w:rsidRPr="009D71A6" w:rsidRDefault="00A22287" w:rsidP="00026AAE">
            <w:pPr>
              <w:spacing w:line="360" w:lineRule="auto"/>
              <w:jc w:val="center"/>
              <w:rPr>
                <w:i/>
                <w:iCs/>
              </w:rPr>
            </w:pPr>
          </w:p>
        </w:tc>
        <w:tc>
          <w:tcPr>
            <w:tcW w:w="1843" w:type="dxa"/>
            <w:tcBorders>
              <w:top w:val="double" w:sz="4" w:space="0" w:color="auto"/>
              <w:bottom w:val="double" w:sz="4" w:space="0" w:color="auto"/>
            </w:tcBorders>
            <w:vAlign w:val="bottom"/>
          </w:tcPr>
          <w:p w14:paraId="7F74C546" w14:textId="77777777" w:rsidR="00A22287" w:rsidRPr="009D71A6" w:rsidRDefault="00A22287" w:rsidP="00026AAE">
            <w:pPr>
              <w:spacing w:line="360" w:lineRule="auto"/>
              <w:jc w:val="center"/>
              <w:rPr>
                <w:i/>
                <w:iCs/>
              </w:rPr>
            </w:pPr>
            <w:r w:rsidRPr="009D71A6">
              <w:rPr>
                <w:i/>
                <w:iCs/>
              </w:rPr>
              <w:t>SMB</w:t>
            </w:r>
          </w:p>
        </w:tc>
        <w:tc>
          <w:tcPr>
            <w:tcW w:w="1559" w:type="dxa"/>
            <w:tcBorders>
              <w:top w:val="double" w:sz="4" w:space="0" w:color="auto"/>
              <w:bottom w:val="double" w:sz="4" w:space="0" w:color="auto"/>
            </w:tcBorders>
            <w:vAlign w:val="bottom"/>
          </w:tcPr>
          <w:p w14:paraId="3DC11633" w14:textId="77777777" w:rsidR="00A22287" w:rsidRPr="009D71A6" w:rsidRDefault="00A22287" w:rsidP="00026AAE">
            <w:pPr>
              <w:spacing w:line="360" w:lineRule="auto"/>
              <w:jc w:val="center"/>
              <w:rPr>
                <w:i/>
                <w:iCs/>
              </w:rPr>
            </w:pPr>
            <w:r>
              <w:rPr>
                <w:i/>
                <w:iCs/>
              </w:rPr>
              <w:t>HML</w:t>
            </w:r>
          </w:p>
        </w:tc>
        <w:tc>
          <w:tcPr>
            <w:tcW w:w="1985" w:type="dxa"/>
            <w:tcBorders>
              <w:top w:val="double" w:sz="4" w:space="0" w:color="auto"/>
              <w:bottom w:val="double" w:sz="4" w:space="0" w:color="auto"/>
            </w:tcBorders>
            <w:vAlign w:val="bottom"/>
          </w:tcPr>
          <w:p w14:paraId="337D8176" w14:textId="77777777" w:rsidR="00A22287" w:rsidRPr="009D71A6" w:rsidRDefault="00A22287" w:rsidP="00026AAE">
            <w:pPr>
              <w:spacing w:line="360" w:lineRule="auto"/>
              <w:jc w:val="center"/>
              <w:rPr>
                <w:i/>
                <w:iCs/>
              </w:rPr>
            </w:pPr>
            <w:r>
              <w:rPr>
                <w:i/>
                <w:iCs/>
              </w:rPr>
              <w:t>RMW</w:t>
            </w:r>
          </w:p>
        </w:tc>
        <w:tc>
          <w:tcPr>
            <w:tcW w:w="2835" w:type="dxa"/>
            <w:tcBorders>
              <w:top w:val="double" w:sz="4" w:space="0" w:color="auto"/>
              <w:bottom w:val="double" w:sz="4" w:space="0" w:color="auto"/>
            </w:tcBorders>
            <w:vAlign w:val="bottom"/>
          </w:tcPr>
          <w:p w14:paraId="70DC6B06" w14:textId="77777777" w:rsidR="00A22287" w:rsidRPr="009D71A6" w:rsidRDefault="00A22287" w:rsidP="00026AAE">
            <w:pPr>
              <w:spacing w:line="360" w:lineRule="auto"/>
              <w:jc w:val="center"/>
              <w:rPr>
                <w:i/>
                <w:iCs/>
              </w:rPr>
            </w:pPr>
            <w:r>
              <w:rPr>
                <w:i/>
                <w:iCs/>
              </w:rPr>
              <w:t>CMA</w:t>
            </w:r>
          </w:p>
        </w:tc>
      </w:tr>
      <w:tr w:rsidR="00A22287" w14:paraId="7EED0296" w14:textId="77777777" w:rsidTr="000E3083">
        <w:tc>
          <w:tcPr>
            <w:tcW w:w="1271" w:type="dxa"/>
            <w:tcBorders>
              <w:top w:val="double" w:sz="4" w:space="0" w:color="auto"/>
            </w:tcBorders>
            <w:vAlign w:val="bottom"/>
          </w:tcPr>
          <w:p w14:paraId="2A89674D" w14:textId="77777777" w:rsidR="00A22287" w:rsidRPr="009D71A6" w:rsidRDefault="00A22287" w:rsidP="00026AAE">
            <w:pPr>
              <w:spacing w:line="360" w:lineRule="auto"/>
              <w:jc w:val="center"/>
              <w:rPr>
                <w:i/>
                <w:iCs/>
              </w:rPr>
            </w:pPr>
            <w:r>
              <w:rPr>
                <w:i/>
                <w:iCs/>
              </w:rPr>
              <w:t>Short Leg</w:t>
            </w:r>
          </w:p>
        </w:tc>
        <w:tc>
          <w:tcPr>
            <w:tcW w:w="1843" w:type="dxa"/>
            <w:tcBorders>
              <w:top w:val="double" w:sz="4" w:space="0" w:color="auto"/>
            </w:tcBorders>
            <w:vAlign w:val="bottom"/>
          </w:tcPr>
          <w:p w14:paraId="744CBE66" w14:textId="77777777" w:rsidR="00A22287" w:rsidRPr="009D71A6" w:rsidRDefault="00A22287" w:rsidP="00026AAE">
            <w:pPr>
              <w:spacing w:line="360" w:lineRule="auto"/>
              <w:jc w:val="center"/>
              <w:rPr>
                <w:i/>
                <w:iCs/>
              </w:rPr>
            </w:pPr>
            <w:r>
              <w:rPr>
                <w:i/>
                <w:iCs/>
              </w:rPr>
              <w:t>Big-cap</w:t>
            </w:r>
          </w:p>
        </w:tc>
        <w:tc>
          <w:tcPr>
            <w:tcW w:w="1559" w:type="dxa"/>
            <w:tcBorders>
              <w:top w:val="double" w:sz="4" w:space="0" w:color="auto"/>
            </w:tcBorders>
            <w:vAlign w:val="bottom"/>
          </w:tcPr>
          <w:p w14:paraId="3F314F8F" w14:textId="77777777" w:rsidR="00A22287" w:rsidRPr="009D71A6" w:rsidRDefault="00A22287" w:rsidP="00026AAE">
            <w:pPr>
              <w:spacing w:line="360" w:lineRule="auto"/>
              <w:jc w:val="center"/>
              <w:rPr>
                <w:i/>
                <w:iCs/>
              </w:rPr>
            </w:pPr>
            <w:r>
              <w:rPr>
                <w:i/>
                <w:iCs/>
              </w:rPr>
              <w:t>Growth</w:t>
            </w:r>
          </w:p>
        </w:tc>
        <w:tc>
          <w:tcPr>
            <w:tcW w:w="1985" w:type="dxa"/>
            <w:tcBorders>
              <w:top w:val="double" w:sz="4" w:space="0" w:color="auto"/>
            </w:tcBorders>
            <w:vAlign w:val="bottom"/>
          </w:tcPr>
          <w:p w14:paraId="61C5E834" w14:textId="77777777" w:rsidR="00A22287" w:rsidRPr="009D71A6" w:rsidRDefault="00A22287" w:rsidP="00026AAE">
            <w:pPr>
              <w:spacing w:line="360" w:lineRule="auto"/>
              <w:jc w:val="center"/>
              <w:rPr>
                <w:i/>
                <w:iCs/>
              </w:rPr>
            </w:pPr>
            <w:r>
              <w:rPr>
                <w:i/>
                <w:iCs/>
              </w:rPr>
              <w:t>Not profitable</w:t>
            </w:r>
          </w:p>
        </w:tc>
        <w:tc>
          <w:tcPr>
            <w:tcW w:w="2835" w:type="dxa"/>
            <w:tcBorders>
              <w:top w:val="double" w:sz="4" w:space="0" w:color="auto"/>
            </w:tcBorders>
            <w:vAlign w:val="bottom"/>
          </w:tcPr>
          <w:p w14:paraId="006A0922" w14:textId="77777777" w:rsidR="00A22287" w:rsidRPr="009D71A6" w:rsidRDefault="00A22287" w:rsidP="00026AAE">
            <w:pPr>
              <w:spacing w:line="360" w:lineRule="auto"/>
              <w:jc w:val="center"/>
              <w:rPr>
                <w:i/>
                <w:iCs/>
              </w:rPr>
            </w:pPr>
            <w:r>
              <w:rPr>
                <w:i/>
                <w:iCs/>
              </w:rPr>
              <w:t>Aggressive Investing</w:t>
            </w:r>
          </w:p>
        </w:tc>
      </w:tr>
      <w:tr w:rsidR="00A22287" w14:paraId="7C04D672" w14:textId="77777777" w:rsidTr="000E3083">
        <w:tc>
          <w:tcPr>
            <w:tcW w:w="1271" w:type="dxa"/>
            <w:vAlign w:val="bottom"/>
          </w:tcPr>
          <w:p w14:paraId="65893F42" w14:textId="77777777" w:rsidR="00A22287" w:rsidRPr="009D71A6" w:rsidRDefault="00A22287" w:rsidP="00026AAE">
            <w:pPr>
              <w:spacing w:line="360" w:lineRule="auto"/>
              <w:jc w:val="center"/>
              <w:rPr>
                <w:i/>
                <w:iCs/>
              </w:rPr>
            </w:pPr>
            <w:r>
              <w:rPr>
                <w:i/>
                <w:iCs/>
              </w:rPr>
              <w:t>Long Leg</w:t>
            </w:r>
          </w:p>
        </w:tc>
        <w:tc>
          <w:tcPr>
            <w:tcW w:w="1843" w:type="dxa"/>
            <w:vAlign w:val="bottom"/>
          </w:tcPr>
          <w:p w14:paraId="5D4CBE7C" w14:textId="77777777" w:rsidR="00A22287" w:rsidRPr="009D71A6" w:rsidRDefault="00A22287" w:rsidP="00026AAE">
            <w:pPr>
              <w:spacing w:line="360" w:lineRule="auto"/>
              <w:jc w:val="center"/>
              <w:rPr>
                <w:i/>
                <w:iCs/>
              </w:rPr>
            </w:pPr>
            <w:r>
              <w:rPr>
                <w:i/>
                <w:iCs/>
              </w:rPr>
              <w:t>Small-cap</w:t>
            </w:r>
          </w:p>
        </w:tc>
        <w:tc>
          <w:tcPr>
            <w:tcW w:w="1559" w:type="dxa"/>
            <w:vAlign w:val="bottom"/>
          </w:tcPr>
          <w:p w14:paraId="64349062" w14:textId="77777777" w:rsidR="00A22287" w:rsidRPr="009D71A6" w:rsidRDefault="00A22287" w:rsidP="00026AAE">
            <w:pPr>
              <w:spacing w:line="360" w:lineRule="auto"/>
              <w:jc w:val="center"/>
              <w:rPr>
                <w:i/>
                <w:iCs/>
              </w:rPr>
            </w:pPr>
            <w:r>
              <w:rPr>
                <w:i/>
                <w:iCs/>
              </w:rPr>
              <w:t>Value</w:t>
            </w:r>
          </w:p>
        </w:tc>
        <w:tc>
          <w:tcPr>
            <w:tcW w:w="1985" w:type="dxa"/>
            <w:vAlign w:val="bottom"/>
          </w:tcPr>
          <w:p w14:paraId="4F93EAAC" w14:textId="77777777" w:rsidR="00A22287" w:rsidRPr="009D71A6" w:rsidRDefault="00A22287" w:rsidP="00026AAE">
            <w:pPr>
              <w:spacing w:line="360" w:lineRule="auto"/>
              <w:jc w:val="center"/>
              <w:rPr>
                <w:i/>
                <w:iCs/>
              </w:rPr>
            </w:pPr>
            <w:r>
              <w:rPr>
                <w:i/>
                <w:iCs/>
              </w:rPr>
              <w:t>Profitable</w:t>
            </w:r>
          </w:p>
        </w:tc>
        <w:tc>
          <w:tcPr>
            <w:tcW w:w="2835" w:type="dxa"/>
            <w:vAlign w:val="bottom"/>
          </w:tcPr>
          <w:p w14:paraId="789EB7F9" w14:textId="77777777" w:rsidR="00A22287" w:rsidRPr="009D71A6" w:rsidRDefault="00A22287" w:rsidP="00026AAE">
            <w:pPr>
              <w:spacing w:line="360" w:lineRule="auto"/>
              <w:jc w:val="center"/>
              <w:rPr>
                <w:i/>
                <w:iCs/>
              </w:rPr>
            </w:pPr>
            <w:r>
              <w:rPr>
                <w:i/>
                <w:iCs/>
              </w:rPr>
              <w:t>Conservative Investing</w:t>
            </w:r>
          </w:p>
        </w:tc>
      </w:tr>
    </w:tbl>
    <w:p w14:paraId="60A3D184" w14:textId="77777777" w:rsidR="00A22287" w:rsidRDefault="00A22287" w:rsidP="00A22287">
      <w:pPr>
        <w:spacing w:line="360" w:lineRule="auto"/>
      </w:pPr>
    </w:p>
    <w:p w14:paraId="07A9A9C5" w14:textId="0D064DB8" w:rsidR="00A22287" w:rsidRDefault="00A22287" w:rsidP="00A22287">
      <w:pPr>
        <w:spacing w:line="360" w:lineRule="auto"/>
      </w:pPr>
      <w:r>
        <w:t>For this study</w:t>
      </w:r>
      <w:r w:rsidR="00C90D1E">
        <w:t>,</w:t>
      </w:r>
      <w:r>
        <w:t xml:space="preserve"> we are interested, and will consequently develop further on the long leg. According to </w:t>
      </w:r>
      <w:proofErr w:type="spellStart"/>
      <w:r>
        <w:t>Fama</w:t>
      </w:r>
      <w:proofErr w:type="spellEnd"/>
      <w:r>
        <w:t xml:space="preserve"> and French (2015)</w:t>
      </w:r>
      <w:r w:rsidR="00942702">
        <w:t>,</w:t>
      </w:r>
      <w:r>
        <w:t xml:space="preserve"> portfolios with these characteristics overperform the market. Therefore, we seek to create a profile based on the characteristics of investors that own stocks in the long leg of the model.</w:t>
      </w:r>
    </w:p>
    <w:p w14:paraId="12E2A4DD" w14:textId="77777777" w:rsidR="00A22287" w:rsidRDefault="00A22287" w:rsidP="00A22287">
      <w:pPr>
        <w:spacing w:line="360" w:lineRule="auto"/>
      </w:pPr>
    </w:p>
    <w:p w14:paraId="1BDB71E7" w14:textId="46A2AE17" w:rsidR="00A22287" w:rsidRDefault="00A22287" w:rsidP="00A22287">
      <w:pPr>
        <w:spacing w:line="360" w:lineRule="auto"/>
      </w:pPr>
      <w:r>
        <w:t>When we discussed the investors characteristics, we</w:t>
      </w:r>
      <w:r w:rsidR="00BE439D">
        <w:t xml:space="preserve"> will</w:t>
      </w:r>
      <w:r>
        <w:t xml:space="preserve"> highlight their behavior towards risk-taking. The reason behind this is to be able to generate a hypothesis on who could be the </w:t>
      </w:r>
      <w:proofErr w:type="spellStart"/>
      <w:r>
        <w:t>Fama</w:t>
      </w:r>
      <w:proofErr w:type="spellEnd"/>
      <w:r>
        <w:t xml:space="preserve">-French investors based on risk appetite. Given the traditional economic wisdom (Brealey &amp; Myers, 1981) we can affirm that risk and returns have a positive correlation, and therefore, given that the long leg from the </w:t>
      </w:r>
      <w:proofErr w:type="spellStart"/>
      <w:r>
        <w:t>Fama</w:t>
      </w:r>
      <w:proofErr w:type="spellEnd"/>
      <w:r>
        <w:t xml:space="preserve">-French model offers higher returns, it would be fair to think that those who invest in the long leg of the </w:t>
      </w:r>
      <w:proofErr w:type="spellStart"/>
      <w:r>
        <w:t>Fama</w:t>
      </w:r>
      <w:proofErr w:type="spellEnd"/>
      <w:r>
        <w:t>-French five factor model are more risk tolerant.</w:t>
      </w:r>
    </w:p>
    <w:p w14:paraId="380C21AD" w14:textId="77777777" w:rsidR="00A22287" w:rsidRDefault="00A22287" w:rsidP="00A22287">
      <w:pPr>
        <w:spacing w:line="360" w:lineRule="auto"/>
      </w:pPr>
    </w:p>
    <w:p w14:paraId="4474B560" w14:textId="77777777" w:rsidR="00A22287" w:rsidRDefault="00A22287" w:rsidP="00A22287">
      <w:pPr>
        <w:spacing w:line="360" w:lineRule="auto"/>
      </w:pPr>
      <w:r>
        <w:t xml:space="preserve">The </w:t>
      </w:r>
      <w:proofErr w:type="spellStart"/>
      <w:r>
        <w:t>Fama</w:t>
      </w:r>
      <w:proofErr w:type="spellEnd"/>
      <w:r>
        <w:t>-French five factor model, for which the present factors will be used in the study, is not free of critics. Firstly, the model was built using data from the United States, therefore, some academics have shown that specially the factors added in the 2015 model, profitability and investment patterns, do not have an explanatory power, in other significantly different regions, such as South East Asia (</w:t>
      </w:r>
      <w:proofErr w:type="spellStart"/>
      <w:r>
        <w:t>Cakici</w:t>
      </w:r>
      <w:proofErr w:type="spellEnd"/>
      <w:r>
        <w:t xml:space="preserve">, 2015). Other researchers, corroborate the prior criticism, Foye (2018) tested the five-factor model and noticed that it did better than the three-factor model but just in regions such as Eastern Europe and Latin America, but in practice it did not add much to the Asian market. </w:t>
      </w:r>
    </w:p>
    <w:p w14:paraId="4C5F014F" w14:textId="77777777" w:rsidR="00A22287" w:rsidRDefault="00A22287" w:rsidP="00A22287">
      <w:pPr>
        <w:spacing w:line="360" w:lineRule="auto"/>
      </w:pPr>
      <w:r>
        <w:t xml:space="preserve">Given that, most of the criticism from this last </w:t>
      </w:r>
      <w:proofErr w:type="spellStart"/>
      <w:r>
        <w:t>Fama</w:t>
      </w:r>
      <w:proofErr w:type="spellEnd"/>
      <w:r>
        <w:t>-French model are founded on its explanatory power for Asia, it should not represent a problem for our study.</w:t>
      </w:r>
    </w:p>
    <w:p w14:paraId="40C7F9DD" w14:textId="77777777" w:rsidR="00A22287" w:rsidRDefault="00A22287" w:rsidP="00C608D9">
      <w:pPr>
        <w:spacing w:line="360" w:lineRule="auto"/>
        <w:rPr>
          <w:b/>
          <w:bCs/>
          <w:u w:val="single"/>
        </w:rPr>
      </w:pPr>
    </w:p>
    <w:p w14:paraId="2607AF08" w14:textId="757BA0F6" w:rsidR="00562864" w:rsidRDefault="00BE439D" w:rsidP="00B81B44">
      <w:pPr>
        <w:spacing w:line="360" w:lineRule="auto"/>
      </w:pPr>
      <w:r>
        <w:lastRenderedPageBreak/>
        <w:t>We</w:t>
      </w:r>
      <w:r w:rsidR="00562864">
        <w:t xml:space="preserve"> investigate a group of independent variables, each variable depicts an individual’s characteristic from either of two broader groups: demographics, and socioeconomical conditions.</w:t>
      </w:r>
      <w:r w:rsidR="00D05C58">
        <w:t xml:space="preserve"> The combination of these two groups has been proved to partly explain financial success (Grable, 2000)</w:t>
      </w:r>
    </w:p>
    <w:p w14:paraId="2DC795D0" w14:textId="5CCB07F1" w:rsidR="00C206E8" w:rsidRDefault="00C206E8" w:rsidP="00C206E8">
      <w:pPr>
        <w:spacing w:line="360" w:lineRule="auto"/>
      </w:pPr>
    </w:p>
    <w:p w14:paraId="0BEACBC2" w14:textId="2710EAF8" w:rsidR="0002068F" w:rsidRDefault="00C206E8" w:rsidP="00C206E8">
      <w:pPr>
        <w:spacing w:line="360" w:lineRule="auto"/>
      </w:pPr>
      <w:r>
        <w:t xml:space="preserve">The decision to invest in the long leg of the </w:t>
      </w:r>
      <w:proofErr w:type="spellStart"/>
      <w:r>
        <w:t>Fama</w:t>
      </w:r>
      <w:proofErr w:type="spellEnd"/>
      <w:r>
        <w:t xml:space="preserve">-French model can be fairly described as a risky decision. </w:t>
      </w:r>
      <w:r w:rsidR="004853BF">
        <w:t>Assuming</w:t>
      </w:r>
      <w:r>
        <w:t xml:space="preserve"> that </w:t>
      </w:r>
      <w:r w:rsidR="004853BF">
        <w:t>all investors in the market have full information, w</w:t>
      </w:r>
      <w:r>
        <w:t>e state that to deliberately invest in the long leg,</w:t>
      </w:r>
      <w:r w:rsidR="004853BF">
        <w:t xml:space="preserve"> an investor</w:t>
      </w:r>
      <w:r>
        <w:t xml:space="preserve"> has to be a risk taker, </w:t>
      </w:r>
      <w:r w:rsidR="00B81B44">
        <w:t>and have a certain risk bearing capacity.</w:t>
      </w:r>
    </w:p>
    <w:p w14:paraId="5C21BAEE" w14:textId="77777777" w:rsidR="00F53913" w:rsidRDefault="00F53913" w:rsidP="00C206E8">
      <w:pPr>
        <w:spacing w:line="360" w:lineRule="auto"/>
      </w:pPr>
    </w:p>
    <w:p w14:paraId="756CE004" w14:textId="1BFDE030" w:rsidR="00E12AC9" w:rsidRDefault="00E12AC9" w:rsidP="00C206E8">
      <w:pPr>
        <w:spacing w:line="360" w:lineRule="auto"/>
      </w:pPr>
    </w:p>
    <w:p w14:paraId="758E595E" w14:textId="600B9E4C" w:rsidR="00E12AC9" w:rsidRDefault="00E12AC9" w:rsidP="00E12AC9">
      <w:pPr>
        <w:pStyle w:val="Heading2"/>
        <w:rPr>
          <w:rFonts w:ascii="Times New Roman" w:hAnsi="Times New Roman" w:cs="Times New Roman"/>
          <w:b/>
          <w:bCs/>
          <w:color w:val="000000" w:themeColor="text1"/>
          <w:sz w:val="24"/>
          <w:szCs w:val="24"/>
        </w:rPr>
      </w:pPr>
      <w:bookmarkStart w:id="7" w:name="_Toc103963043"/>
      <w:r w:rsidRPr="00E12AC9">
        <w:rPr>
          <w:rFonts w:ascii="Times New Roman" w:hAnsi="Times New Roman" w:cs="Times New Roman"/>
          <w:b/>
          <w:bCs/>
          <w:color w:val="000000" w:themeColor="text1"/>
          <w:sz w:val="24"/>
          <w:szCs w:val="24"/>
        </w:rPr>
        <w:t>2.2 Variable Description</w:t>
      </w:r>
      <w:bookmarkEnd w:id="7"/>
    </w:p>
    <w:p w14:paraId="38C4B223" w14:textId="77777777" w:rsidR="00CF2A7B" w:rsidRPr="00CF2A7B" w:rsidRDefault="00CF2A7B" w:rsidP="00CF2A7B"/>
    <w:p w14:paraId="6CCDA62D" w14:textId="286CEC68" w:rsidR="00CF2A7B" w:rsidRDefault="00CF2A7B" w:rsidP="00CF2A7B">
      <w:pPr>
        <w:rPr>
          <w:sz w:val="20"/>
          <w:szCs w:val="20"/>
        </w:rPr>
      </w:pPr>
    </w:p>
    <w:p w14:paraId="75B62686" w14:textId="54A6D010" w:rsidR="00CF2A7B" w:rsidRDefault="00CF2A7B" w:rsidP="00CF2A7B">
      <w:pPr>
        <w:jc w:val="center"/>
        <w:rPr>
          <w:b/>
          <w:bCs/>
          <w:i/>
          <w:iCs/>
        </w:rPr>
      </w:pPr>
      <w:r>
        <w:rPr>
          <w:b/>
          <w:bCs/>
          <w:i/>
          <w:iCs/>
        </w:rPr>
        <w:t>Definition of Variables</w:t>
      </w:r>
    </w:p>
    <w:p w14:paraId="1E88E8E8" w14:textId="77777777" w:rsidR="00CF2A7B" w:rsidRDefault="00CF2A7B" w:rsidP="00CF2A7B">
      <w:pPr>
        <w:jc w:val="center"/>
        <w:rPr>
          <w:b/>
          <w:bCs/>
          <w:i/>
          <w:iCs/>
        </w:rPr>
      </w:pPr>
    </w:p>
    <w:p w14:paraId="3855AACA" w14:textId="301299E6" w:rsidR="00CF2A7B" w:rsidRPr="00CF2A7B" w:rsidRDefault="00CF2A7B" w:rsidP="00CF2A7B">
      <w:pPr>
        <w:rPr>
          <w:sz w:val="20"/>
          <w:szCs w:val="20"/>
        </w:rPr>
      </w:pPr>
      <w:r>
        <w:rPr>
          <w:sz w:val="20"/>
          <w:szCs w:val="20"/>
        </w:rPr>
        <w:t>This table summarizes the main variables used in the paper</w:t>
      </w: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7276"/>
      </w:tblGrid>
      <w:tr w:rsidR="00E12AC9" w14:paraId="5ABE1B79" w14:textId="77777777" w:rsidTr="00CF2A7B">
        <w:tc>
          <w:tcPr>
            <w:tcW w:w="1413" w:type="dxa"/>
            <w:tcBorders>
              <w:top w:val="double" w:sz="4" w:space="0" w:color="auto"/>
              <w:bottom w:val="double" w:sz="4" w:space="0" w:color="auto"/>
            </w:tcBorders>
          </w:tcPr>
          <w:p w14:paraId="478C801B" w14:textId="1483A820" w:rsidR="00E12AC9" w:rsidRPr="00E12AC9" w:rsidRDefault="00E12AC9" w:rsidP="00E12AC9">
            <w:pPr>
              <w:spacing w:line="360" w:lineRule="auto"/>
              <w:jc w:val="center"/>
              <w:rPr>
                <w:i/>
                <w:iCs/>
              </w:rPr>
            </w:pPr>
            <w:r>
              <w:rPr>
                <w:i/>
                <w:iCs/>
              </w:rPr>
              <w:t>Variable</w:t>
            </w:r>
          </w:p>
        </w:tc>
        <w:tc>
          <w:tcPr>
            <w:tcW w:w="7603" w:type="dxa"/>
            <w:tcBorders>
              <w:top w:val="double" w:sz="4" w:space="0" w:color="auto"/>
              <w:bottom w:val="double" w:sz="4" w:space="0" w:color="auto"/>
            </w:tcBorders>
          </w:tcPr>
          <w:p w14:paraId="741B69FE" w14:textId="41D430FD" w:rsidR="00E12AC9" w:rsidRPr="00E12AC9" w:rsidRDefault="00E12AC9" w:rsidP="00E12AC9">
            <w:pPr>
              <w:spacing w:line="360" w:lineRule="auto"/>
              <w:jc w:val="center"/>
            </w:pPr>
            <w:r>
              <w:t>Description</w:t>
            </w:r>
          </w:p>
        </w:tc>
      </w:tr>
      <w:tr w:rsidR="00E12AC9" w14:paraId="08C8E0A0" w14:textId="77777777" w:rsidTr="00CF2A7B">
        <w:tc>
          <w:tcPr>
            <w:tcW w:w="1413" w:type="dxa"/>
            <w:tcBorders>
              <w:top w:val="double" w:sz="4" w:space="0" w:color="auto"/>
            </w:tcBorders>
          </w:tcPr>
          <w:p w14:paraId="4A30E7DE" w14:textId="4B61AE33" w:rsidR="00E12AC9" w:rsidRPr="00E12AC9" w:rsidRDefault="00E12AC9" w:rsidP="00562864">
            <w:pPr>
              <w:spacing w:line="360" w:lineRule="auto"/>
              <w:rPr>
                <w:i/>
                <w:iCs/>
              </w:rPr>
            </w:pPr>
            <w:r w:rsidRPr="00E12AC9">
              <w:rPr>
                <w:i/>
                <w:iCs/>
              </w:rPr>
              <w:t>age</w:t>
            </w:r>
          </w:p>
        </w:tc>
        <w:tc>
          <w:tcPr>
            <w:tcW w:w="7603" w:type="dxa"/>
            <w:tcBorders>
              <w:top w:val="double" w:sz="4" w:space="0" w:color="auto"/>
            </w:tcBorders>
          </w:tcPr>
          <w:p w14:paraId="513C139A" w14:textId="529B4408" w:rsidR="00E12AC9" w:rsidRPr="00524F20" w:rsidRDefault="00524F20" w:rsidP="00562864">
            <w:pPr>
              <w:spacing w:line="360" w:lineRule="auto"/>
              <w:rPr>
                <w:sz w:val="22"/>
                <w:szCs w:val="22"/>
              </w:rPr>
            </w:pPr>
            <w:r w:rsidRPr="00524F20">
              <w:rPr>
                <w:sz w:val="22"/>
                <w:szCs w:val="22"/>
              </w:rPr>
              <w:t>Age of the respondent</w:t>
            </w:r>
          </w:p>
        </w:tc>
      </w:tr>
      <w:tr w:rsidR="00E12AC9" w14:paraId="3F1AEB90" w14:textId="77777777" w:rsidTr="00CF2A7B">
        <w:tc>
          <w:tcPr>
            <w:tcW w:w="1413" w:type="dxa"/>
          </w:tcPr>
          <w:p w14:paraId="1D5E2043" w14:textId="5E03FCCD" w:rsidR="00E12AC9" w:rsidRPr="00E12AC9" w:rsidRDefault="00E12AC9" w:rsidP="00562864">
            <w:pPr>
              <w:spacing w:line="360" w:lineRule="auto"/>
              <w:rPr>
                <w:i/>
                <w:iCs/>
              </w:rPr>
            </w:pPr>
            <w:r>
              <w:rPr>
                <w:i/>
                <w:iCs/>
              </w:rPr>
              <w:t>gender</w:t>
            </w:r>
          </w:p>
        </w:tc>
        <w:tc>
          <w:tcPr>
            <w:tcW w:w="7603" w:type="dxa"/>
          </w:tcPr>
          <w:p w14:paraId="3F085E6A" w14:textId="523A750F" w:rsidR="00E12AC9" w:rsidRPr="00524F20" w:rsidRDefault="00524F20" w:rsidP="00562864">
            <w:pPr>
              <w:spacing w:line="360" w:lineRule="auto"/>
              <w:rPr>
                <w:sz w:val="22"/>
                <w:szCs w:val="22"/>
              </w:rPr>
            </w:pPr>
            <w:r w:rsidRPr="00524F20">
              <w:rPr>
                <w:sz w:val="22"/>
                <w:szCs w:val="22"/>
              </w:rPr>
              <w:t xml:space="preserve">Binary variable, </w:t>
            </w:r>
            <w:r>
              <w:rPr>
                <w:sz w:val="22"/>
                <w:szCs w:val="22"/>
              </w:rPr>
              <w:t xml:space="preserve">self-reported </w:t>
            </w:r>
            <w:r w:rsidRPr="00524F20">
              <w:rPr>
                <w:sz w:val="22"/>
                <w:szCs w:val="22"/>
              </w:rPr>
              <w:t>gender of the respondent (1=m</w:t>
            </w:r>
            <w:r>
              <w:rPr>
                <w:sz w:val="22"/>
                <w:szCs w:val="22"/>
              </w:rPr>
              <w:t>an, 0=woman)</w:t>
            </w:r>
          </w:p>
        </w:tc>
      </w:tr>
      <w:tr w:rsidR="00E12AC9" w14:paraId="638EB847" w14:textId="77777777" w:rsidTr="00CF2A7B">
        <w:tc>
          <w:tcPr>
            <w:tcW w:w="1413" w:type="dxa"/>
          </w:tcPr>
          <w:p w14:paraId="06CBD21A" w14:textId="5E89812A" w:rsidR="00E12AC9" w:rsidRPr="00E12AC9" w:rsidRDefault="00E12AC9" w:rsidP="00562864">
            <w:pPr>
              <w:spacing w:line="360" w:lineRule="auto"/>
              <w:rPr>
                <w:i/>
                <w:iCs/>
              </w:rPr>
            </w:pPr>
            <w:r>
              <w:rPr>
                <w:i/>
                <w:iCs/>
              </w:rPr>
              <w:t>log(wealth)</w:t>
            </w:r>
          </w:p>
        </w:tc>
        <w:tc>
          <w:tcPr>
            <w:tcW w:w="7603" w:type="dxa"/>
          </w:tcPr>
          <w:p w14:paraId="5447DA4E" w14:textId="5A37D1A1" w:rsidR="00E12AC9" w:rsidRPr="00524F20" w:rsidRDefault="00524F20" w:rsidP="00562864">
            <w:pPr>
              <w:spacing w:line="360" w:lineRule="auto"/>
              <w:rPr>
                <w:sz w:val="22"/>
                <w:szCs w:val="22"/>
              </w:rPr>
            </w:pPr>
            <w:r w:rsidRPr="00524F20">
              <w:rPr>
                <w:sz w:val="22"/>
                <w:szCs w:val="22"/>
              </w:rPr>
              <w:t xml:space="preserve">Logarithm of the wealth of the </w:t>
            </w:r>
            <w:r w:rsidR="00942702" w:rsidRPr="00524F20">
              <w:rPr>
                <w:sz w:val="22"/>
                <w:szCs w:val="22"/>
              </w:rPr>
              <w:t>respondent</w:t>
            </w:r>
            <w:r w:rsidRPr="00524F20">
              <w:rPr>
                <w:sz w:val="22"/>
                <w:szCs w:val="22"/>
              </w:rPr>
              <w:t xml:space="preserve"> with base 10, wealth is calculated as the sum of all the savings accounts of the </w:t>
            </w:r>
            <w:r w:rsidR="00942702" w:rsidRPr="00524F20">
              <w:rPr>
                <w:sz w:val="22"/>
                <w:szCs w:val="22"/>
              </w:rPr>
              <w:t>respondent</w:t>
            </w:r>
          </w:p>
        </w:tc>
      </w:tr>
      <w:tr w:rsidR="00E12AC9" w14:paraId="5490C602" w14:textId="77777777" w:rsidTr="00CF2A7B">
        <w:tc>
          <w:tcPr>
            <w:tcW w:w="1413" w:type="dxa"/>
          </w:tcPr>
          <w:p w14:paraId="754062BE" w14:textId="4509D2E2" w:rsidR="00E12AC9" w:rsidRPr="00E12AC9" w:rsidRDefault="00E12AC9" w:rsidP="00562864">
            <w:pPr>
              <w:spacing w:line="360" w:lineRule="auto"/>
              <w:rPr>
                <w:i/>
                <w:iCs/>
              </w:rPr>
            </w:pPr>
            <w:r>
              <w:rPr>
                <w:i/>
                <w:iCs/>
              </w:rPr>
              <w:t>log(income)</w:t>
            </w:r>
          </w:p>
        </w:tc>
        <w:tc>
          <w:tcPr>
            <w:tcW w:w="7603" w:type="dxa"/>
          </w:tcPr>
          <w:p w14:paraId="421902E4" w14:textId="6C8709A6" w:rsidR="00E12AC9" w:rsidRPr="00524F20" w:rsidRDefault="00942702" w:rsidP="00562864">
            <w:pPr>
              <w:spacing w:line="360" w:lineRule="auto"/>
              <w:rPr>
                <w:sz w:val="22"/>
                <w:szCs w:val="22"/>
              </w:rPr>
            </w:pPr>
            <w:r>
              <w:rPr>
                <w:sz w:val="22"/>
                <w:szCs w:val="22"/>
              </w:rPr>
              <w:t>Logarithm</w:t>
            </w:r>
            <w:r w:rsidR="00524F20">
              <w:rPr>
                <w:sz w:val="22"/>
                <w:szCs w:val="22"/>
              </w:rPr>
              <w:t xml:space="preserve"> of the net total income of the respondent</w:t>
            </w:r>
            <w:r w:rsidR="00041F52">
              <w:rPr>
                <w:sz w:val="22"/>
                <w:szCs w:val="22"/>
              </w:rPr>
              <w:t xml:space="preserve"> with base 10</w:t>
            </w:r>
            <w:r w:rsidR="00524F20">
              <w:rPr>
                <w:sz w:val="22"/>
                <w:szCs w:val="22"/>
              </w:rPr>
              <w:t>, net total income calculated after taxes from all sources</w:t>
            </w:r>
          </w:p>
        </w:tc>
      </w:tr>
      <w:tr w:rsidR="00E12AC9" w14:paraId="001E40D1" w14:textId="77777777" w:rsidTr="00CF2A7B">
        <w:tc>
          <w:tcPr>
            <w:tcW w:w="1413" w:type="dxa"/>
          </w:tcPr>
          <w:p w14:paraId="51092B1E" w14:textId="21805070" w:rsidR="00E12AC9" w:rsidRPr="00E12AC9" w:rsidRDefault="00E12AC9" w:rsidP="00562864">
            <w:pPr>
              <w:spacing w:line="360" w:lineRule="auto"/>
              <w:rPr>
                <w:i/>
                <w:iCs/>
              </w:rPr>
            </w:pPr>
            <w:r>
              <w:rPr>
                <w:i/>
                <w:iCs/>
              </w:rPr>
              <w:t>education</w:t>
            </w:r>
          </w:p>
        </w:tc>
        <w:tc>
          <w:tcPr>
            <w:tcW w:w="7603" w:type="dxa"/>
          </w:tcPr>
          <w:p w14:paraId="67C8096B" w14:textId="3386763B" w:rsidR="00E12AC9" w:rsidRPr="00524F20" w:rsidRDefault="00524F20" w:rsidP="00562864">
            <w:pPr>
              <w:spacing w:line="360" w:lineRule="auto"/>
              <w:rPr>
                <w:sz w:val="22"/>
                <w:szCs w:val="22"/>
              </w:rPr>
            </w:pPr>
            <w:r>
              <w:rPr>
                <w:sz w:val="22"/>
                <w:szCs w:val="22"/>
              </w:rPr>
              <w:t>Binary variable, level of completed education of the respondent (1=university education, 0=non university education)</w:t>
            </w:r>
          </w:p>
        </w:tc>
      </w:tr>
      <w:tr w:rsidR="00E12AC9" w14:paraId="79A93477" w14:textId="77777777" w:rsidTr="00CF2A7B">
        <w:tc>
          <w:tcPr>
            <w:tcW w:w="1413" w:type="dxa"/>
          </w:tcPr>
          <w:p w14:paraId="23A93778" w14:textId="518CC72E" w:rsidR="00E12AC9" w:rsidRPr="00E12AC9" w:rsidRDefault="00E12AC9" w:rsidP="00562864">
            <w:pPr>
              <w:spacing w:line="360" w:lineRule="auto"/>
              <w:rPr>
                <w:i/>
                <w:iCs/>
              </w:rPr>
            </w:pPr>
            <w:r>
              <w:rPr>
                <w:i/>
                <w:iCs/>
              </w:rPr>
              <w:t>accommodation</w:t>
            </w:r>
          </w:p>
        </w:tc>
        <w:tc>
          <w:tcPr>
            <w:tcW w:w="7603" w:type="dxa"/>
          </w:tcPr>
          <w:p w14:paraId="2DC1AA26" w14:textId="603D8790" w:rsidR="00E12AC9" w:rsidRPr="00524F20" w:rsidRDefault="00524F20" w:rsidP="00562864">
            <w:pPr>
              <w:spacing w:line="360" w:lineRule="auto"/>
              <w:rPr>
                <w:sz w:val="22"/>
                <w:szCs w:val="22"/>
              </w:rPr>
            </w:pPr>
            <w:r>
              <w:rPr>
                <w:sz w:val="22"/>
                <w:szCs w:val="22"/>
              </w:rPr>
              <w:t>Binary variable, whether a respondent owns or not its accommodation (1= owner, 0=not owner)</w:t>
            </w:r>
          </w:p>
        </w:tc>
      </w:tr>
      <w:tr w:rsidR="00E12AC9" w14:paraId="62002382" w14:textId="77777777" w:rsidTr="00CF2A7B">
        <w:tc>
          <w:tcPr>
            <w:tcW w:w="1413" w:type="dxa"/>
          </w:tcPr>
          <w:p w14:paraId="6B4EB010" w14:textId="1902DD2C" w:rsidR="00E12AC9" w:rsidRPr="00E12AC9" w:rsidRDefault="00E12AC9" w:rsidP="00562864">
            <w:pPr>
              <w:spacing w:line="360" w:lineRule="auto"/>
              <w:rPr>
                <w:i/>
                <w:iCs/>
              </w:rPr>
            </w:pPr>
            <w:r>
              <w:rPr>
                <w:i/>
                <w:iCs/>
              </w:rPr>
              <w:t>partner</w:t>
            </w:r>
          </w:p>
        </w:tc>
        <w:tc>
          <w:tcPr>
            <w:tcW w:w="7603" w:type="dxa"/>
          </w:tcPr>
          <w:p w14:paraId="44C55950" w14:textId="059FD866" w:rsidR="00E12AC9" w:rsidRPr="00524F20" w:rsidRDefault="00524F20" w:rsidP="00562864">
            <w:pPr>
              <w:spacing w:line="360" w:lineRule="auto"/>
              <w:rPr>
                <w:sz w:val="22"/>
                <w:szCs w:val="22"/>
              </w:rPr>
            </w:pPr>
            <w:r>
              <w:rPr>
                <w:sz w:val="22"/>
                <w:szCs w:val="22"/>
              </w:rPr>
              <w:t xml:space="preserve">Binary variable, </w:t>
            </w:r>
            <w:r w:rsidR="00902A8A">
              <w:rPr>
                <w:sz w:val="22"/>
                <w:szCs w:val="22"/>
              </w:rPr>
              <w:t>describes the partner status from the respondent</w:t>
            </w:r>
            <w:r w:rsidR="00CF2A7B">
              <w:rPr>
                <w:sz w:val="22"/>
                <w:szCs w:val="22"/>
              </w:rPr>
              <w:t xml:space="preserve"> (1=partner, 0=no partner)</w:t>
            </w:r>
          </w:p>
        </w:tc>
      </w:tr>
    </w:tbl>
    <w:p w14:paraId="3356AB8D" w14:textId="11B540F4" w:rsidR="00F53913" w:rsidRDefault="00F53913" w:rsidP="000F702A">
      <w:pPr>
        <w:pStyle w:val="Heading2"/>
        <w:rPr>
          <w:rFonts w:ascii="Times New Roman" w:hAnsi="Times New Roman" w:cs="Times New Roman"/>
          <w:b/>
          <w:bCs/>
          <w:color w:val="000000" w:themeColor="text1"/>
          <w:sz w:val="24"/>
          <w:szCs w:val="24"/>
        </w:rPr>
      </w:pPr>
      <w:bookmarkStart w:id="8" w:name="_Toc102301200"/>
    </w:p>
    <w:p w14:paraId="7189865D" w14:textId="43F480B1" w:rsidR="000E3083" w:rsidRDefault="000E3083" w:rsidP="000E3083"/>
    <w:p w14:paraId="15F9D727" w14:textId="2CBFA645" w:rsidR="000E3083" w:rsidRDefault="000E3083" w:rsidP="000E3083"/>
    <w:p w14:paraId="4F5A7A42" w14:textId="5D1123F8" w:rsidR="000E3083" w:rsidRDefault="000E3083" w:rsidP="000E3083"/>
    <w:p w14:paraId="759DD3CE" w14:textId="42D3898F" w:rsidR="000E3083" w:rsidRDefault="000E3083" w:rsidP="000E3083"/>
    <w:p w14:paraId="48511960" w14:textId="6A475D53" w:rsidR="000E3083" w:rsidRDefault="000E3083" w:rsidP="000E3083"/>
    <w:p w14:paraId="4ED4371B" w14:textId="77777777" w:rsidR="000E3083" w:rsidRPr="000E3083" w:rsidRDefault="000E3083" w:rsidP="000E3083"/>
    <w:p w14:paraId="5DCFF934" w14:textId="77777777" w:rsidR="00F53913" w:rsidRDefault="00F53913" w:rsidP="000F702A">
      <w:pPr>
        <w:pStyle w:val="Heading2"/>
        <w:rPr>
          <w:rFonts w:ascii="Times New Roman" w:hAnsi="Times New Roman" w:cs="Times New Roman"/>
          <w:b/>
          <w:bCs/>
          <w:color w:val="000000" w:themeColor="text1"/>
          <w:sz w:val="24"/>
          <w:szCs w:val="24"/>
        </w:rPr>
      </w:pPr>
    </w:p>
    <w:p w14:paraId="25B0786F" w14:textId="1EFFFE6A" w:rsidR="00152092" w:rsidRPr="000F702A" w:rsidRDefault="008F775D" w:rsidP="000F702A">
      <w:pPr>
        <w:pStyle w:val="Heading2"/>
        <w:rPr>
          <w:rFonts w:ascii="Times New Roman" w:hAnsi="Times New Roman" w:cs="Times New Roman"/>
          <w:b/>
          <w:bCs/>
          <w:color w:val="000000" w:themeColor="text1"/>
          <w:sz w:val="24"/>
          <w:szCs w:val="24"/>
        </w:rPr>
      </w:pPr>
      <w:bookmarkStart w:id="9" w:name="_Toc103963044"/>
      <w:r w:rsidRPr="000F702A">
        <w:rPr>
          <w:rFonts w:ascii="Times New Roman" w:hAnsi="Times New Roman" w:cs="Times New Roman"/>
          <w:b/>
          <w:bCs/>
          <w:color w:val="000000" w:themeColor="text1"/>
          <w:sz w:val="24"/>
          <w:szCs w:val="24"/>
        </w:rPr>
        <w:t>2.</w:t>
      </w:r>
      <w:r w:rsidR="00E12AC9">
        <w:rPr>
          <w:rFonts w:ascii="Times New Roman" w:hAnsi="Times New Roman" w:cs="Times New Roman"/>
          <w:b/>
          <w:bCs/>
          <w:color w:val="000000" w:themeColor="text1"/>
          <w:sz w:val="24"/>
          <w:szCs w:val="24"/>
        </w:rPr>
        <w:t>3</w:t>
      </w:r>
      <w:r w:rsidRPr="000F702A">
        <w:rPr>
          <w:rFonts w:ascii="Times New Roman" w:hAnsi="Times New Roman" w:cs="Times New Roman"/>
          <w:b/>
          <w:bCs/>
          <w:color w:val="000000" w:themeColor="text1"/>
          <w:sz w:val="24"/>
          <w:szCs w:val="24"/>
        </w:rPr>
        <w:t xml:space="preserve"> </w:t>
      </w:r>
      <w:bookmarkEnd w:id="8"/>
      <w:r w:rsidR="0002068F">
        <w:rPr>
          <w:rFonts w:ascii="Times New Roman" w:hAnsi="Times New Roman" w:cs="Times New Roman"/>
          <w:b/>
          <w:bCs/>
          <w:color w:val="000000" w:themeColor="text1"/>
          <w:sz w:val="24"/>
          <w:szCs w:val="24"/>
        </w:rPr>
        <w:t>Risk Taking</w:t>
      </w:r>
      <w:bookmarkEnd w:id="9"/>
    </w:p>
    <w:p w14:paraId="750C13CD" w14:textId="6B609C13" w:rsidR="00562864" w:rsidRDefault="00562864" w:rsidP="00C608D9">
      <w:pPr>
        <w:spacing w:line="360" w:lineRule="auto"/>
        <w:rPr>
          <w:b/>
          <w:bCs/>
        </w:rPr>
      </w:pPr>
    </w:p>
    <w:p w14:paraId="745087CD" w14:textId="105F4FE6" w:rsidR="00562864" w:rsidRDefault="00562864" w:rsidP="00C608D9">
      <w:pPr>
        <w:spacing w:line="360" w:lineRule="auto"/>
      </w:pPr>
      <w:r>
        <w:rPr>
          <w:b/>
          <w:bCs/>
        </w:rPr>
        <w:tab/>
      </w:r>
      <w:r w:rsidR="006760E4">
        <w:t xml:space="preserve">The </w:t>
      </w:r>
      <w:r w:rsidR="00F34956">
        <w:t xml:space="preserve">originally Greek </w:t>
      </w:r>
      <w:r w:rsidR="006760E4">
        <w:t xml:space="preserve">word, demographics, describes the characteristics of a population. Some examples of these characteristics include, age, race, gender, or partner status. (Salkind, 2010) In our study, the selected demographic characteristics </w:t>
      </w:r>
      <w:r w:rsidR="00FB73AA">
        <w:t xml:space="preserve">consist of age, gender, education, home ownership, and partner status. </w:t>
      </w:r>
    </w:p>
    <w:p w14:paraId="52FF615F" w14:textId="2A4758D2" w:rsidR="00FB73AA" w:rsidRDefault="00FB73AA" w:rsidP="00C608D9">
      <w:pPr>
        <w:spacing w:line="360" w:lineRule="auto"/>
      </w:pPr>
    </w:p>
    <w:p w14:paraId="0E274BEE" w14:textId="1D6DE1A0" w:rsidR="00FB73AA" w:rsidRDefault="00FB73AA" w:rsidP="00C608D9">
      <w:pPr>
        <w:spacing w:line="360" w:lineRule="auto"/>
      </w:pPr>
      <w:r>
        <w:t>Many academics have looked into</w:t>
      </w:r>
      <w:r w:rsidR="002A5040">
        <w:t xml:space="preserve"> the association between </w:t>
      </w:r>
      <w:r>
        <w:t xml:space="preserve">age </w:t>
      </w:r>
      <w:r w:rsidR="002A5040">
        <w:t>and</w:t>
      </w:r>
      <w:r>
        <w:t xml:space="preserve"> investing behavior.</w:t>
      </w:r>
      <w:r w:rsidR="005C701B">
        <w:t xml:space="preserve"> </w:t>
      </w:r>
      <w:r w:rsidR="0091732A">
        <w:t xml:space="preserve">The usual result is that younger investors have a bigger appetite for </w:t>
      </w:r>
      <w:r w:rsidR="00672D82">
        <w:t>risk</w:t>
      </w:r>
      <w:r w:rsidR="0091732A">
        <w:t xml:space="preserve"> assets (</w:t>
      </w:r>
      <w:r w:rsidR="00EE7141">
        <w:t>Brunetti &amp; Torricelli, 2010). In addition, this claim is supported by the research on social science and applied to general risk taking, and not only to financial risk taking. It is found that across the world risky behavior</w:t>
      </w:r>
      <w:r w:rsidR="001C142B">
        <w:t xml:space="preserve"> over age</w:t>
      </w:r>
      <w:r w:rsidR="00EE7141">
        <w:t xml:space="preserve"> follows an inverted U pattern, and that it peaks in the late adolescents (</w:t>
      </w:r>
      <w:proofErr w:type="spellStart"/>
      <w:r w:rsidR="00EE7141">
        <w:t>Duell</w:t>
      </w:r>
      <w:proofErr w:type="spellEnd"/>
      <w:r w:rsidR="00EE7141">
        <w:t xml:space="preserve">, </w:t>
      </w:r>
      <w:proofErr w:type="spellStart"/>
      <w:r w:rsidR="00EE7141">
        <w:t>Steingberg</w:t>
      </w:r>
      <w:proofErr w:type="spellEnd"/>
      <w:r w:rsidR="00672D82">
        <w:t xml:space="preserve"> &amp; </w:t>
      </w:r>
      <w:r w:rsidR="00EE7141">
        <w:t>Icenogle</w:t>
      </w:r>
      <w:r w:rsidR="00672D82">
        <w:t>, 2018).</w:t>
      </w:r>
      <w:r w:rsidR="00C206E8">
        <w:t xml:space="preserve"> Regarding risk bearing capacity, </w:t>
      </w:r>
    </w:p>
    <w:p w14:paraId="7F99D246" w14:textId="4B24BFB1" w:rsidR="00672D82" w:rsidRDefault="00672D82" w:rsidP="00C608D9">
      <w:pPr>
        <w:spacing w:line="360" w:lineRule="auto"/>
      </w:pPr>
    </w:p>
    <w:p w14:paraId="50E24308" w14:textId="23F6EF94" w:rsidR="00413CE0" w:rsidRDefault="00672D82" w:rsidP="009A28F3">
      <w:pPr>
        <w:spacing w:line="360" w:lineRule="auto"/>
      </w:pPr>
      <w:r>
        <w:t xml:space="preserve">Regarding the gender characteristic, </w:t>
      </w:r>
      <w:r w:rsidR="0009257F">
        <w:t>researchers</w:t>
      </w:r>
      <w:r w:rsidR="001C142B">
        <w:t xml:space="preserve"> from</w:t>
      </w:r>
      <w:r w:rsidR="00751D3B">
        <w:t xml:space="preserve"> different fields</w:t>
      </w:r>
      <w:r w:rsidR="0009257F">
        <w:t xml:space="preserve"> seem to </w:t>
      </w:r>
      <w:r w:rsidR="00751D3B">
        <w:t>come to the same conclusion that men are more inclined to take risks than women (</w:t>
      </w:r>
      <w:proofErr w:type="spellStart"/>
      <w:proofErr w:type="gramStart"/>
      <w:r w:rsidR="00751D3B">
        <w:t>Buunk</w:t>
      </w:r>
      <w:proofErr w:type="spellEnd"/>
      <w:r w:rsidR="00751D3B">
        <w:t xml:space="preserve"> ,</w:t>
      </w:r>
      <w:proofErr w:type="spellStart"/>
      <w:r w:rsidR="00751D3B">
        <w:t>Cobey</w:t>
      </w:r>
      <w:proofErr w:type="spellEnd"/>
      <w:proofErr w:type="gramEnd"/>
      <w:r w:rsidR="00751D3B">
        <w:t xml:space="preserve">, </w:t>
      </w:r>
      <w:proofErr w:type="spellStart"/>
      <w:r w:rsidR="00751D3B">
        <w:t>Laan</w:t>
      </w:r>
      <w:proofErr w:type="spellEnd"/>
      <w:r w:rsidR="00751D3B">
        <w:t xml:space="preserve">, </w:t>
      </w:r>
      <w:proofErr w:type="spellStart"/>
      <w:r w:rsidR="00751D3B">
        <w:t>Pollet</w:t>
      </w:r>
      <w:proofErr w:type="spellEnd"/>
      <w:r w:rsidR="00751D3B">
        <w:t xml:space="preserve"> &amp; </w:t>
      </w:r>
      <w:proofErr w:type="spellStart"/>
      <w:r w:rsidR="00751D3B">
        <w:t>Stulp</w:t>
      </w:r>
      <w:proofErr w:type="spellEnd"/>
      <w:r w:rsidR="00751D3B">
        <w:t>, 2013). Some academics</w:t>
      </w:r>
      <w:r w:rsidR="009A28F3">
        <w:t xml:space="preserve"> have argued that this difference in based in the disparity in financial education, and that once that both stand on a</w:t>
      </w:r>
      <w:r w:rsidR="001C142B">
        <w:t>n</w:t>
      </w:r>
      <w:r w:rsidR="009A28F3">
        <w:t xml:space="preserve"> equally high level of financial education, then there is no difference between genders in financial risk appetite (Hibbert, Lawrence &amp; Prakash, 2013)</w:t>
      </w:r>
      <w:r w:rsidR="00B15BBA">
        <w:t>. Other researchers</w:t>
      </w:r>
      <w:r w:rsidR="00653BEF">
        <w:t xml:space="preserve"> have discussed that men do not take more risks just for the sake of doing so, but because they have a different, </w:t>
      </w:r>
      <w:r w:rsidR="001C142B">
        <w:t xml:space="preserve">likely </w:t>
      </w:r>
      <w:r w:rsidR="00653BEF">
        <w:t xml:space="preserve">more overconfident, perception of risk than women (Lee, Miller, Velasquez &amp; </w:t>
      </w:r>
      <w:proofErr w:type="spellStart"/>
      <w:r w:rsidR="00653BEF">
        <w:t>Wann</w:t>
      </w:r>
      <w:proofErr w:type="spellEnd"/>
      <w:r w:rsidR="00653BEF">
        <w:t>, 2013)</w:t>
      </w:r>
      <w:r w:rsidR="001A3AE5">
        <w:t>. This differen</w:t>
      </w:r>
      <w:r w:rsidR="00EA56DB">
        <w:t xml:space="preserve">ce perception could be explained by the well-researched male overconfidence (Barber &amp; </w:t>
      </w:r>
      <w:proofErr w:type="spellStart"/>
      <w:r w:rsidR="00EA56DB">
        <w:t>Odean</w:t>
      </w:r>
      <w:proofErr w:type="spellEnd"/>
      <w:r w:rsidR="00EA56DB">
        <w:t xml:space="preserve">, 2001) (Bengtsson, Persson &amp; </w:t>
      </w:r>
      <w:proofErr w:type="spellStart"/>
      <w:r w:rsidR="00EA56DB">
        <w:t>Willenhag</w:t>
      </w:r>
      <w:proofErr w:type="spellEnd"/>
      <w:r w:rsidR="00EA56DB">
        <w:t>, 2005).</w:t>
      </w:r>
    </w:p>
    <w:p w14:paraId="36DA08CF" w14:textId="6590C264" w:rsidR="00EA56DB" w:rsidRDefault="00EA56DB" w:rsidP="009A28F3">
      <w:pPr>
        <w:spacing w:line="360" w:lineRule="auto"/>
      </w:pPr>
    </w:p>
    <w:p w14:paraId="7D7E6452" w14:textId="5851DA55" w:rsidR="00EA56DB" w:rsidRDefault="00EA56DB" w:rsidP="009A28F3">
      <w:pPr>
        <w:spacing w:line="360" w:lineRule="auto"/>
      </w:pPr>
      <w:r>
        <w:t xml:space="preserve">Another </w:t>
      </w:r>
      <w:r w:rsidR="005F79DC">
        <w:t>demographic factor that we look into is the education achieved by the respondent. In this study we ma</w:t>
      </w:r>
      <w:r w:rsidR="00255C69">
        <w:t>rk the difference on whether an individual has completed university education or not.</w:t>
      </w:r>
      <w:r w:rsidR="00874F4D">
        <w:t xml:space="preserve"> Research indicates that education has two effects on financial behavior. Firstly, the more educated seem to have a lower risk aversion</w:t>
      </w:r>
      <w:r w:rsidR="000F7E24">
        <w:t xml:space="preserve"> (Shaw, 1996)</w:t>
      </w:r>
      <w:r w:rsidR="00874F4D">
        <w:t xml:space="preserve">, and secondly this same group seems to allocate more capital to the stock market (Black, Devereux, </w:t>
      </w:r>
      <w:proofErr w:type="spellStart"/>
      <w:r w:rsidR="00874F4D">
        <w:t>Lundborg</w:t>
      </w:r>
      <w:proofErr w:type="spellEnd"/>
      <w:r w:rsidR="00874F4D">
        <w:t xml:space="preserve"> &amp; </w:t>
      </w:r>
      <w:proofErr w:type="spellStart"/>
      <w:r w:rsidR="00874F4D">
        <w:t>Majlesi</w:t>
      </w:r>
      <w:proofErr w:type="spellEnd"/>
      <w:r w:rsidR="00874F4D">
        <w:t xml:space="preserve">, 2018). </w:t>
      </w:r>
      <w:r w:rsidR="0072331A">
        <w:t xml:space="preserve">It is </w:t>
      </w:r>
      <w:r w:rsidR="00CD1423">
        <w:t xml:space="preserve">interesting to highlight that the current research on the effect on education on financial risk taking is overwhelmingly focused on financial education, and not </w:t>
      </w:r>
      <w:r w:rsidR="00CD1423">
        <w:lastRenderedPageBreak/>
        <w:t>so much in education as a whole.</w:t>
      </w:r>
      <w:r w:rsidR="00F34956">
        <w:t xml:space="preserve"> Therefore, the results from this study might be able to throw some light over the topic.</w:t>
      </w:r>
    </w:p>
    <w:p w14:paraId="2825E860" w14:textId="1A32CBB5" w:rsidR="00F34956" w:rsidRDefault="00F34956" w:rsidP="009A28F3">
      <w:pPr>
        <w:spacing w:line="360" w:lineRule="auto"/>
      </w:pPr>
    </w:p>
    <w:p w14:paraId="29BD97ED" w14:textId="3E99C172" w:rsidR="00F34956" w:rsidRDefault="00F34956" w:rsidP="009A28F3">
      <w:pPr>
        <w:spacing w:line="360" w:lineRule="auto"/>
      </w:pPr>
      <w:r>
        <w:t>Furthermore, we will look into home ownership</w:t>
      </w:r>
      <w:r w:rsidR="00E81A83">
        <w:t xml:space="preserve">, which can arguably be described as one of the most important choices in an individual’s life. It is then interesting to ask ourselves, what does making this decision say about a person, or a household. A study written by </w:t>
      </w:r>
      <w:proofErr w:type="spellStart"/>
      <w:r w:rsidR="00E81A83">
        <w:t>Rober</w:t>
      </w:r>
      <w:proofErr w:type="spellEnd"/>
      <w:r w:rsidR="00E81A83">
        <w:t xml:space="preserve"> </w:t>
      </w:r>
      <w:proofErr w:type="spellStart"/>
      <w:r w:rsidR="00E81A83">
        <w:t>Shiler</w:t>
      </w:r>
      <w:proofErr w:type="spellEnd"/>
      <w:r w:rsidR="00E81A83">
        <w:t xml:space="preserve"> in 2007, indicates that </w:t>
      </w:r>
      <w:r w:rsidR="00F25739">
        <w:t xml:space="preserve">during the market boom in that period of time, home ownership was seen by families as an investment opportunity. </w:t>
      </w:r>
      <w:r w:rsidR="00D76B43">
        <w:t xml:space="preserve">However, other </w:t>
      </w:r>
      <w:proofErr w:type="gramStart"/>
      <w:r w:rsidR="00D76B43">
        <w:t>researchers</w:t>
      </w:r>
      <w:proofErr w:type="gramEnd"/>
      <w:r w:rsidR="00D76B43">
        <w:t xml:space="preserve"> argument tha</w:t>
      </w:r>
      <w:r w:rsidR="00E0295D">
        <w:t>t</w:t>
      </w:r>
      <w:r w:rsidR="00D76B43">
        <w:t xml:space="preserve"> family formation might be one of the principal reasons behinds the decision of acquiring a new home (Mulder, 2006)</w:t>
      </w:r>
      <w:r w:rsidR="008743FC">
        <w:t>.</w:t>
      </w:r>
      <w:r w:rsidR="00E81A83">
        <w:t xml:space="preserve"> The recent boom in the housing market has make it more difficult for most people to enter the market. </w:t>
      </w:r>
      <w:r w:rsidR="00D76B43">
        <w:t>The relation between this factor and risk aversion,</w:t>
      </w:r>
      <w:r w:rsidR="00431219">
        <w:t xml:space="preserve"> seem to be stronger for older home owners, research shows that wealth increases through house appreciation and therefore the older the household the wealthier it becomes, and the more risk it takes in their financial portfolio (</w:t>
      </w:r>
      <w:proofErr w:type="spellStart"/>
      <w:r w:rsidR="00431219">
        <w:t>Sodini</w:t>
      </w:r>
      <w:proofErr w:type="spellEnd"/>
      <w:r w:rsidR="00431219">
        <w:t xml:space="preserve">, Van </w:t>
      </w:r>
      <w:proofErr w:type="spellStart"/>
      <w:r w:rsidR="00431219">
        <w:t>Nieuwerburgh</w:t>
      </w:r>
      <w:proofErr w:type="spellEnd"/>
      <w:r w:rsidR="00431219">
        <w:t xml:space="preserve">, </w:t>
      </w:r>
      <w:proofErr w:type="spellStart"/>
      <w:r w:rsidR="00431219">
        <w:t>Vestman</w:t>
      </w:r>
      <w:proofErr w:type="spellEnd"/>
      <w:r w:rsidR="00431219">
        <w:t xml:space="preserve"> &amp; von Lilienfeld-</w:t>
      </w:r>
      <w:proofErr w:type="spellStart"/>
      <w:r w:rsidR="00431219">
        <w:t>Toal</w:t>
      </w:r>
      <w:proofErr w:type="spellEnd"/>
      <w:r w:rsidR="00431219">
        <w:t>, 2021)</w:t>
      </w:r>
      <w:r w:rsidR="00E0295D">
        <w:t>.</w:t>
      </w:r>
    </w:p>
    <w:p w14:paraId="2B6B6710" w14:textId="525D8A95" w:rsidR="00E0295D" w:rsidRDefault="00E0295D" w:rsidP="009A28F3">
      <w:pPr>
        <w:spacing w:line="360" w:lineRule="auto"/>
      </w:pPr>
    </w:p>
    <w:p w14:paraId="5F8A6837" w14:textId="0EC08B6E" w:rsidR="00E148D4" w:rsidRDefault="00B11793" w:rsidP="009A28F3">
      <w:pPr>
        <w:spacing w:line="360" w:lineRule="auto"/>
      </w:pPr>
      <w:r>
        <w:t xml:space="preserve">Lastly, we have the last characteristics of partner status. Which describes whether the respondent lives with a legal partner. The research on this characteristic seem to indicate that marriage </w:t>
      </w:r>
      <w:r w:rsidR="003E3725">
        <w:t xml:space="preserve">has an effect on lowering risk tolerance on individuals </w:t>
      </w:r>
      <w:r w:rsidR="002F734C">
        <w:t>(</w:t>
      </w:r>
      <w:proofErr w:type="spellStart"/>
      <w:r w:rsidR="002F734C">
        <w:t>Roussanov</w:t>
      </w:r>
      <w:proofErr w:type="spellEnd"/>
      <w:r w:rsidR="002F734C">
        <w:t>, &amp; Savor, 2014)</w:t>
      </w:r>
      <w:r w:rsidR="003E3725">
        <w:t xml:space="preserve">. Rui and Sherman (2005), found that financial risk taking among single and married individuals could be ranked from highest to lowest as follows: single males, married males, single females, and married females. </w:t>
      </w:r>
      <w:r w:rsidR="00980E09">
        <w:t>Therefore, based on these results, partner status seems to act a mediator variable when paired with gender.</w:t>
      </w:r>
    </w:p>
    <w:p w14:paraId="365CA607" w14:textId="7D5138DA" w:rsidR="00176153" w:rsidRDefault="00E12AC9" w:rsidP="009A28F3">
      <w:pPr>
        <w:spacing w:line="360" w:lineRule="auto"/>
      </w:pPr>
      <w:r>
        <w:t>S</w:t>
      </w:r>
      <w:r w:rsidR="00372F36">
        <w:t xml:space="preserve">ome studies have shown that savings </w:t>
      </w:r>
      <w:r w:rsidR="006245D0">
        <w:t xml:space="preserve">decisions </w:t>
      </w:r>
      <w:r w:rsidR="00372F36">
        <w:t>are heavily influenced by income and educational level of the household (Lindqvist, 1981)</w:t>
      </w:r>
      <w:r w:rsidR="006245D0">
        <w:t xml:space="preserve">. Furthermore, some of the drivers boosting saving behavior include age, family size, and length of the planning horizon (Devaney, </w:t>
      </w:r>
      <w:proofErr w:type="spellStart"/>
      <w:r w:rsidR="006245D0">
        <w:t>Anong</w:t>
      </w:r>
      <w:proofErr w:type="spellEnd"/>
      <w:r w:rsidR="006245D0">
        <w:t xml:space="preserve">, &amp; Whirl, 2007). </w:t>
      </w:r>
      <w:r w:rsidR="005212D0">
        <w:t xml:space="preserve">This characteristic, acts slightly different to the ones presented above. </w:t>
      </w:r>
      <w:proofErr w:type="spellStart"/>
      <w:r w:rsidR="005212D0">
        <w:t>Dahlbäck</w:t>
      </w:r>
      <w:proofErr w:type="spellEnd"/>
      <w:r w:rsidR="005212D0">
        <w:t xml:space="preserve"> (1991) shows that the relation seems to go on opposite direction, and that savings might be the dependent variable with risk taking as predictor variable. He mentions that </w:t>
      </w:r>
      <w:r w:rsidR="008743FC">
        <w:t>the higher the</w:t>
      </w:r>
      <w:r w:rsidR="005212D0">
        <w:t xml:space="preserve"> risk aversion, the higher the amount of savings. This research, however, </w:t>
      </w:r>
      <w:r w:rsidR="008743FC">
        <w:t xml:space="preserve">is </w:t>
      </w:r>
      <w:r w:rsidR="005212D0">
        <w:t>relatively dated, and we strive to investigate if savings can act as an independent variable to risk taking</w:t>
      </w:r>
    </w:p>
    <w:p w14:paraId="4100A7A5" w14:textId="512C454C" w:rsidR="005212D0" w:rsidRDefault="005212D0" w:rsidP="009A28F3">
      <w:pPr>
        <w:spacing w:line="360" w:lineRule="auto"/>
      </w:pPr>
    </w:p>
    <w:p w14:paraId="15C45767" w14:textId="0BB1C525" w:rsidR="00F34956" w:rsidRDefault="005212D0" w:rsidP="009A28F3">
      <w:pPr>
        <w:spacing w:line="360" w:lineRule="auto"/>
      </w:pPr>
      <w:r>
        <w:lastRenderedPageBreak/>
        <w:t>Moreover, we want to investigate the income characteristic from each respondent</w:t>
      </w:r>
      <w:r w:rsidR="00323BAC">
        <w:t xml:space="preserve">. </w:t>
      </w:r>
      <w:r w:rsidR="00051624">
        <w:t xml:space="preserve">There seems to be a consensus among academics in that which income is highly correlated with education. </w:t>
      </w:r>
      <w:r w:rsidR="008743FC">
        <w:t>Therefore</w:t>
      </w:r>
      <w:r w:rsidR="00051624">
        <w:t xml:space="preserve">, income would have the same effect on financial risk taking as education, that is, the higher the income, the higher the risk tolerance (Hanna, Gutter, &amp; Fan, 2001). </w:t>
      </w:r>
    </w:p>
    <w:p w14:paraId="3DE4C92D" w14:textId="0D0687B0" w:rsidR="0002068F" w:rsidRDefault="0002068F" w:rsidP="009A28F3">
      <w:pPr>
        <w:spacing w:line="360" w:lineRule="auto"/>
      </w:pPr>
    </w:p>
    <w:p w14:paraId="4E90113A" w14:textId="5DF9578C" w:rsidR="0002068F" w:rsidRPr="00E12AC9" w:rsidRDefault="0002068F" w:rsidP="00E12AC9">
      <w:pPr>
        <w:pStyle w:val="Heading2"/>
        <w:rPr>
          <w:rFonts w:ascii="Times New Roman" w:hAnsi="Times New Roman" w:cs="Times New Roman"/>
          <w:b/>
          <w:bCs/>
          <w:color w:val="000000" w:themeColor="text1"/>
          <w:sz w:val="24"/>
          <w:szCs w:val="24"/>
        </w:rPr>
      </w:pPr>
      <w:bookmarkStart w:id="10" w:name="_Toc103963045"/>
      <w:r w:rsidRPr="00E12AC9">
        <w:rPr>
          <w:rFonts w:ascii="Times New Roman" w:hAnsi="Times New Roman" w:cs="Times New Roman"/>
          <w:b/>
          <w:bCs/>
          <w:color w:val="000000" w:themeColor="text1"/>
          <w:sz w:val="24"/>
          <w:szCs w:val="24"/>
        </w:rPr>
        <w:t>2.</w:t>
      </w:r>
      <w:r w:rsidR="00E12AC9">
        <w:rPr>
          <w:rFonts w:ascii="Times New Roman" w:hAnsi="Times New Roman" w:cs="Times New Roman"/>
          <w:b/>
          <w:bCs/>
          <w:color w:val="000000" w:themeColor="text1"/>
          <w:sz w:val="24"/>
          <w:szCs w:val="24"/>
        </w:rPr>
        <w:t>4</w:t>
      </w:r>
      <w:r w:rsidRPr="00E12AC9">
        <w:rPr>
          <w:rFonts w:ascii="Times New Roman" w:hAnsi="Times New Roman" w:cs="Times New Roman"/>
          <w:b/>
          <w:bCs/>
          <w:color w:val="000000" w:themeColor="text1"/>
          <w:sz w:val="24"/>
          <w:szCs w:val="24"/>
        </w:rPr>
        <w:t xml:space="preserve"> Risk Bearing Capacity</w:t>
      </w:r>
      <w:bookmarkEnd w:id="10"/>
    </w:p>
    <w:p w14:paraId="66061031" w14:textId="5D1FB65E" w:rsidR="0005473C" w:rsidRDefault="0005473C" w:rsidP="009A28F3">
      <w:pPr>
        <w:spacing w:line="360" w:lineRule="auto"/>
      </w:pPr>
    </w:p>
    <w:p w14:paraId="2D662631" w14:textId="3CC74176" w:rsidR="000D5D3B" w:rsidRDefault="00C5261A" w:rsidP="009A28F3">
      <w:pPr>
        <w:spacing w:line="360" w:lineRule="auto"/>
      </w:pPr>
      <w:r>
        <w:tab/>
      </w:r>
      <w:proofErr w:type="spellStart"/>
      <w:r w:rsidR="006E7C5B">
        <w:t>Betermier</w:t>
      </w:r>
      <w:proofErr w:type="spellEnd"/>
      <w:r w:rsidR="006E7C5B">
        <w:t xml:space="preserve"> et al (2017) </w:t>
      </w:r>
      <w:r w:rsidR="00342FDA">
        <w:t>associated risk bearing capacity to age and balance sheet</w:t>
      </w:r>
      <w:r w:rsidR="00D55490">
        <w:t>. Then, they proved that as one gets older and one’s balance sheet grows (higher risk bearing capacity), one begins to shift their investments from growth to value stocks, that i</w:t>
      </w:r>
      <w:r w:rsidR="00041F52">
        <w:t>s</w:t>
      </w:r>
      <w:r w:rsidR="00D55490">
        <w:t>, from the short leg to the long leg.</w:t>
      </w:r>
      <w:r w:rsidR="007C289F">
        <w:t xml:space="preserve"> In another study from Lusardi, Schneider, and </w:t>
      </w:r>
      <w:proofErr w:type="spellStart"/>
      <w:r w:rsidR="007C289F">
        <w:t>Tufano</w:t>
      </w:r>
      <w:proofErr w:type="spellEnd"/>
      <w:r w:rsidR="007C289F">
        <w:t xml:space="preserve"> (2010), it was found that when a prospective risk realized</w:t>
      </w:r>
      <w:r w:rsidR="00041F52">
        <w:t>,</w:t>
      </w:r>
      <w:r w:rsidR="007C289F">
        <w:t xml:space="preserve"> the main coping mechanism used by American households was precautionary savings, followed by </w:t>
      </w:r>
      <w:r w:rsidR="00041F52">
        <w:t>extending working hour</w:t>
      </w:r>
      <w:r w:rsidR="00A94C81">
        <w:t>s</w:t>
      </w:r>
      <w:r w:rsidR="007C289F">
        <w:t xml:space="preserve">, and </w:t>
      </w:r>
      <w:r w:rsidR="000D5D3B">
        <w:t>formal</w:t>
      </w:r>
      <w:r w:rsidR="007C289F">
        <w:t xml:space="preserve"> and alternative credit. All in all, we model the concept of risk bearing capacity of a household as the </w:t>
      </w:r>
      <w:r w:rsidR="009910B7">
        <w:t xml:space="preserve">liquid </w:t>
      </w:r>
      <w:r w:rsidR="007C289F">
        <w:t>resources</w:t>
      </w:r>
      <w:r w:rsidR="009910B7">
        <w:t xml:space="preserve"> at disposition</w:t>
      </w:r>
      <w:r w:rsidR="007C289F">
        <w:t xml:space="preserve"> in case a financial decision, be it investment, loan, etc. goes south</w:t>
      </w:r>
      <w:r w:rsidR="009910B7">
        <w:t xml:space="preserve">. </w:t>
      </w:r>
      <w:r w:rsidR="000D5D3B">
        <w:t>Our proxy for liquid resources, or wealth, is the capital in saving accounts from the households. Furthermore, in order to build our hypothesis linking risk taking and risk bearing capacity, we regress the rest of the variables chosen for the study as predictors against wealth.</w:t>
      </w:r>
    </w:p>
    <w:p w14:paraId="0F11657E" w14:textId="77777777" w:rsidR="00F53913" w:rsidRDefault="00F53913" w:rsidP="009A28F3">
      <w:pPr>
        <w:spacing w:line="360" w:lineRule="auto"/>
      </w:pPr>
    </w:p>
    <w:p w14:paraId="24A42524" w14:textId="001B1AA4" w:rsidR="0002068F" w:rsidRPr="007D4FFB" w:rsidRDefault="00D808CD" w:rsidP="00D71326">
      <w:pPr>
        <w:spacing w:before="240" w:line="360" w:lineRule="auto"/>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education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age</m:t>
            </m:r>
          </m:sub>
        </m:sSub>
        <m:r>
          <w:rPr>
            <w:rFonts w:ascii="Cambria Math" w:hAnsi="Cambria Math"/>
            <w:sz w:val="20"/>
            <w:szCs w:val="20"/>
          </w:rPr>
          <m:t>(age)+</m:t>
        </m:r>
        <m:sSub>
          <m:sSubPr>
            <m:ctrlPr>
              <w:rPr>
                <w:rFonts w:ascii="Cambria Math" w:hAnsi="Cambria Math"/>
                <w:i/>
                <w:sz w:val="20"/>
                <w:szCs w:val="20"/>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income</m:t>
                    </m:r>
                  </m:e>
                </m:d>
              </m:e>
            </m:func>
          </m:sub>
        </m:sSub>
        <m:r>
          <m:rPr>
            <m:sty m:val="p"/>
          </m:rPr>
          <w:rPr>
            <w:rFonts w:ascii="Cambria Math" w:hAnsi="Cambria Math"/>
            <w:sz w:val="20"/>
            <w:szCs w:val="20"/>
          </w:rPr>
          <m:t>log⁡</m:t>
        </m:r>
        <m:r>
          <w:rPr>
            <w:rFonts w:ascii="Cambria Math" w:hAnsi="Cambria Math"/>
            <w:sz w:val="20"/>
            <w:szCs w:val="20"/>
          </w:rPr>
          <m:t>(income)+</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gender</m:t>
            </m:r>
          </m:sub>
        </m:sSub>
        <m:r>
          <w:rPr>
            <w:rFonts w:ascii="Cambria Math" w:hAnsi="Cambria Math"/>
            <w:sz w:val="20"/>
            <w:szCs w:val="20"/>
          </w:rPr>
          <m:t>(gender)+</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education</m:t>
            </m:r>
          </m:sub>
        </m:sSub>
        <m:r>
          <w:rPr>
            <w:rFonts w:ascii="Cambria Math" w:hAnsi="Cambria Math"/>
            <w:sz w:val="20"/>
            <w:szCs w:val="20"/>
          </w:rPr>
          <m:t>(education)+</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accommodation</m:t>
            </m:r>
          </m:sub>
        </m:sSub>
        <m:r>
          <w:rPr>
            <w:rFonts w:ascii="Cambria Math" w:hAnsi="Cambria Math"/>
            <w:sz w:val="20"/>
            <w:szCs w:val="20"/>
          </w:rPr>
          <m:t>(accommodation)+</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partner</m:t>
            </m:r>
          </m:sub>
        </m:sSub>
        <m:r>
          <w:rPr>
            <w:rFonts w:ascii="Cambria Math" w:hAnsi="Cambria Math"/>
            <w:sz w:val="20"/>
            <w:szCs w:val="20"/>
          </w:rPr>
          <m:t>(partner)</m:t>
        </m:r>
      </m:oMath>
      <w:r w:rsidR="000D5D3B" w:rsidRPr="007D4FFB">
        <w:rPr>
          <w:sz w:val="20"/>
          <w:szCs w:val="20"/>
        </w:rPr>
        <w:t xml:space="preserve">  </w:t>
      </w:r>
    </w:p>
    <w:p w14:paraId="34B821BC" w14:textId="0B6BCDE0" w:rsidR="0002068F" w:rsidRPr="007D4FFB" w:rsidRDefault="007D4FFB" w:rsidP="009A28F3">
      <w:pPr>
        <w:spacing w:line="360" w:lineRule="auto"/>
        <w:rPr>
          <w:b/>
          <w:bCs/>
          <w:i/>
          <w:iCs/>
        </w:rPr>
      </w:pPr>
      <w:r>
        <w:rPr>
          <w:b/>
          <w:bCs/>
          <w:i/>
          <w:iCs/>
        </w:rPr>
        <w:t>Regression Output</w:t>
      </w:r>
    </w:p>
    <w:tbl>
      <w:tblPr>
        <w:tblW w:w="9024" w:type="dxa"/>
        <w:tblLook w:val="04A0" w:firstRow="1" w:lastRow="0" w:firstColumn="1" w:lastColumn="0" w:noHBand="0" w:noVBand="1"/>
      </w:tblPr>
      <w:tblGrid>
        <w:gridCol w:w="2267"/>
        <w:gridCol w:w="1654"/>
        <w:gridCol w:w="1654"/>
        <w:gridCol w:w="1795"/>
        <w:gridCol w:w="1654"/>
      </w:tblGrid>
      <w:tr w:rsidR="007D4FFB" w:rsidRPr="007D4FFB" w14:paraId="579F8494" w14:textId="77777777" w:rsidTr="007D4FFB">
        <w:trPr>
          <w:trHeight w:val="287"/>
        </w:trPr>
        <w:tc>
          <w:tcPr>
            <w:tcW w:w="2267" w:type="dxa"/>
            <w:tcBorders>
              <w:top w:val="double" w:sz="4" w:space="0" w:color="auto"/>
              <w:left w:val="nil"/>
              <w:bottom w:val="double" w:sz="4" w:space="0" w:color="auto"/>
              <w:right w:val="nil"/>
            </w:tcBorders>
            <w:shd w:val="clear" w:color="auto" w:fill="auto"/>
            <w:noWrap/>
            <w:vAlign w:val="bottom"/>
            <w:hideMark/>
          </w:tcPr>
          <w:p w14:paraId="67D78C9D" w14:textId="77777777" w:rsidR="007D4FFB" w:rsidRPr="007D4FFB" w:rsidRDefault="007D4FFB" w:rsidP="007D4FFB">
            <w:pPr>
              <w:jc w:val="center"/>
              <w:rPr>
                <w:i/>
                <w:iCs/>
                <w:color w:val="000000"/>
                <w:sz w:val="22"/>
                <w:szCs w:val="22"/>
              </w:rPr>
            </w:pPr>
            <w:r w:rsidRPr="007D4FFB">
              <w:rPr>
                <w:i/>
                <w:iCs/>
                <w:color w:val="000000"/>
                <w:sz w:val="22"/>
                <w:szCs w:val="22"/>
              </w:rPr>
              <w:t> </w:t>
            </w:r>
          </w:p>
        </w:tc>
        <w:tc>
          <w:tcPr>
            <w:tcW w:w="1654" w:type="dxa"/>
            <w:tcBorders>
              <w:top w:val="double" w:sz="4" w:space="0" w:color="auto"/>
              <w:left w:val="nil"/>
              <w:bottom w:val="double" w:sz="4" w:space="0" w:color="auto"/>
              <w:right w:val="nil"/>
            </w:tcBorders>
            <w:shd w:val="clear" w:color="auto" w:fill="auto"/>
            <w:noWrap/>
            <w:vAlign w:val="bottom"/>
            <w:hideMark/>
          </w:tcPr>
          <w:p w14:paraId="533A4ABC" w14:textId="77777777" w:rsidR="007D4FFB" w:rsidRPr="007D4FFB" w:rsidRDefault="007D4FFB" w:rsidP="007D4FFB">
            <w:pPr>
              <w:jc w:val="center"/>
              <w:rPr>
                <w:i/>
                <w:iCs/>
                <w:color w:val="000000"/>
                <w:sz w:val="22"/>
                <w:szCs w:val="22"/>
              </w:rPr>
            </w:pPr>
            <w:r w:rsidRPr="007D4FFB">
              <w:rPr>
                <w:i/>
                <w:iCs/>
                <w:color w:val="000000"/>
                <w:sz w:val="22"/>
                <w:szCs w:val="22"/>
              </w:rPr>
              <w:t>Coefficients</w:t>
            </w:r>
          </w:p>
        </w:tc>
        <w:tc>
          <w:tcPr>
            <w:tcW w:w="1654" w:type="dxa"/>
            <w:tcBorders>
              <w:top w:val="double" w:sz="4" w:space="0" w:color="auto"/>
              <w:left w:val="nil"/>
              <w:bottom w:val="double" w:sz="4" w:space="0" w:color="auto"/>
              <w:right w:val="nil"/>
            </w:tcBorders>
            <w:shd w:val="clear" w:color="auto" w:fill="auto"/>
            <w:noWrap/>
            <w:vAlign w:val="bottom"/>
            <w:hideMark/>
          </w:tcPr>
          <w:p w14:paraId="7E51F71E" w14:textId="5DF715C2" w:rsidR="007D4FFB" w:rsidRPr="007D4FFB" w:rsidRDefault="007D4FFB" w:rsidP="007D4FFB">
            <w:pPr>
              <w:jc w:val="center"/>
              <w:rPr>
                <w:i/>
                <w:iCs/>
                <w:color w:val="000000"/>
                <w:sz w:val="22"/>
                <w:szCs w:val="22"/>
                <w:lang w:val="es-ES"/>
              </w:rPr>
            </w:pPr>
            <w:r>
              <w:rPr>
                <w:i/>
                <w:iCs/>
                <w:color w:val="000000"/>
                <w:sz w:val="22"/>
                <w:szCs w:val="22"/>
                <w:lang w:val="es-ES"/>
              </w:rPr>
              <w:t>Standard Error</w:t>
            </w:r>
          </w:p>
        </w:tc>
        <w:tc>
          <w:tcPr>
            <w:tcW w:w="1795" w:type="dxa"/>
            <w:tcBorders>
              <w:top w:val="double" w:sz="4" w:space="0" w:color="auto"/>
              <w:left w:val="nil"/>
              <w:bottom w:val="double" w:sz="4" w:space="0" w:color="auto"/>
              <w:right w:val="nil"/>
            </w:tcBorders>
            <w:shd w:val="clear" w:color="auto" w:fill="auto"/>
            <w:noWrap/>
            <w:vAlign w:val="bottom"/>
            <w:hideMark/>
          </w:tcPr>
          <w:p w14:paraId="29823E86" w14:textId="77777777" w:rsidR="007D4FFB" w:rsidRPr="007D4FFB" w:rsidRDefault="007D4FFB" w:rsidP="007D4FFB">
            <w:pPr>
              <w:jc w:val="center"/>
              <w:rPr>
                <w:i/>
                <w:iCs/>
                <w:color w:val="000000"/>
                <w:sz w:val="22"/>
                <w:szCs w:val="22"/>
              </w:rPr>
            </w:pPr>
            <w:r w:rsidRPr="007D4FFB">
              <w:rPr>
                <w:i/>
                <w:iCs/>
                <w:color w:val="000000"/>
                <w:sz w:val="22"/>
                <w:szCs w:val="22"/>
              </w:rPr>
              <w:t>t Stat</w:t>
            </w:r>
          </w:p>
        </w:tc>
        <w:tc>
          <w:tcPr>
            <w:tcW w:w="1654" w:type="dxa"/>
            <w:tcBorders>
              <w:top w:val="double" w:sz="4" w:space="0" w:color="auto"/>
              <w:left w:val="nil"/>
              <w:bottom w:val="double" w:sz="4" w:space="0" w:color="auto"/>
              <w:right w:val="nil"/>
            </w:tcBorders>
            <w:shd w:val="clear" w:color="auto" w:fill="auto"/>
            <w:noWrap/>
            <w:vAlign w:val="bottom"/>
            <w:hideMark/>
          </w:tcPr>
          <w:p w14:paraId="04A561A4" w14:textId="77777777" w:rsidR="007D4FFB" w:rsidRPr="007D4FFB" w:rsidRDefault="007D4FFB" w:rsidP="007D4FFB">
            <w:pPr>
              <w:jc w:val="center"/>
              <w:rPr>
                <w:i/>
                <w:iCs/>
                <w:color w:val="000000"/>
                <w:sz w:val="22"/>
                <w:szCs w:val="22"/>
              </w:rPr>
            </w:pPr>
            <w:r w:rsidRPr="007D4FFB">
              <w:rPr>
                <w:i/>
                <w:iCs/>
                <w:color w:val="000000"/>
                <w:sz w:val="22"/>
                <w:szCs w:val="22"/>
              </w:rPr>
              <w:t>P-value</w:t>
            </w:r>
          </w:p>
        </w:tc>
      </w:tr>
      <w:tr w:rsidR="007D4FFB" w:rsidRPr="007D4FFB" w14:paraId="76898EB1" w14:textId="77777777" w:rsidTr="007D4FFB">
        <w:trPr>
          <w:trHeight w:val="287"/>
        </w:trPr>
        <w:tc>
          <w:tcPr>
            <w:tcW w:w="2267" w:type="dxa"/>
            <w:tcBorders>
              <w:top w:val="double" w:sz="4" w:space="0" w:color="auto"/>
              <w:left w:val="nil"/>
              <w:bottom w:val="nil"/>
              <w:right w:val="nil"/>
            </w:tcBorders>
            <w:shd w:val="clear" w:color="auto" w:fill="auto"/>
            <w:noWrap/>
            <w:vAlign w:val="bottom"/>
            <w:hideMark/>
          </w:tcPr>
          <w:p w14:paraId="1DADFDDB" w14:textId="4EA073B9" w:rsidR="007D4FFB" w:rsidRPr="007D4FFB" w:rsidRDefault="007D4FFB" w:rsidP="007D4FFB">
            <w:pPr>
              <w:rPr>
                <w:i/>
                <w:iCs/>
                <w:color w:val="000000"/>
                <w:sz w:val="22"/>
                <w:szCs w:val="22"/>
              </w:rPr>
            </w:pPr>
            <w:r w:rsidRPr="007D4FFB">
              <w:rPr>
                <w:i/>
                <w:iCs/>
                <w:color w:val="000000"/>
                <w:sz w:val="22"/>
                <w:szCs w:val="22"/>
              </w:rPr>
              <w:t>intercept</w:t>
            </w:r>
          </w:p>
        </w:tc>
        <w:tc>
          <w:tcPr>
            <w:tcW w:w="1654" w:type="dxa"/>
            <w:tcBorders>
              <w:top w:val="double" w:sz="4" w:space="0" w:color="auto"/>
              <w:left w:val="nil"/>
              <w:bottom w:val="nil"/>
              <w:right w:val="nil"/>
            </w:tcBorders>
            <w:shd w:val="clear" w:color="auto" w:fill="auto"/>
            <w:noWrap/>
            <w:vAlign w:val="bottom"/>
            <w:hideMark/>
          </w:tcPr>
          <w:p w14:paraId="36F0771A" w14:textId="77777777" w:rsidR="007D4FFB" w:rsidRPr="007D4FFB" w:rsidRDefault="007D4FFB" w:rsidP="007D4FFB">
            <w:pPr>
              <w:jc w:val="center"/>
              <w:rPr>
                <w:color w:val="000000"/>
                <w:sz w:val="22"/>
                <w:szCs w:val="22"/>
              </w:rPr>
            </w:pPr>
            <w:r w:rsidRPr="007D4FFB">
              <w:rPr>
                <w:color w:val="000000"/>
                <w:sz w:val="22"/>
                <w:szCs w:val="22"/>
              </w:rPr>
              <w:t>2,346</w:t>
            </w:r>
          </w:p>
        </w:tc>
        <w:tc>
          <w:tcPr>
            <w:tcW w:w="1654" w:type="dxa"/>
            <w:tcBorders>
              <w:top w:val="double" w:sz="4" w:space="0" w:color="auto"/>
              <w:left w:val="nil"/>
              <w:bottom w:val="nil"/>
              <w:right w:val="nil"/>
            </w:tcBorders>
            <w:shd w:val="clear" w:color="auto" w:fill="auto"/>
            <w:noWrap/>
            <w:vAlign w:val="bottom"/>
            <w:hideMark/>
          </w:tcPr>
          <w:p w14:paraId="4215F14B" w14:textId="77777777" w:rsidR="007D4FFB" w:rsidRPr="007D4FFB" w:rsidRDefault="007D4FFB" w:rsidP="007D4FFB">
            <w:pPr>
              <w:jc w:val="center"/>
              <w:rPr>
                <w:color w:val="000000"/>
                <w:sz w:val="22"/>
                <w:szCs w:val="22"/>
              </w:rPr>
            </w:pPr>
            <w:r w:rsidRPr="007D4FFB">
              <w:rPr>
                <w:color w:val="000000"/>
                <w:sz w:val="22"/>
                <w:szCs w:val="22"/>
              </w:rPr>
              <w:t>0,161</w:t>
            </w:r>
          </w:p>
        </w:tc>
        <w:tc>
          <w:tcPr>
            <w:tcW w:w="1795" w:type="dxa"/>
            <w:tcBorders>
              <w:top w:val="double" w:sz="4" w:space="0" w:color="auto"/>
              <w:left w:val="nil"/>
              <w:bottom w:val="nil"/>
              <w:right w:val="nil"/>
            </w:tcBorders>
            <w:shd w:val="clear" w:color="auto" w:fill="auto"/>
            <w:noWrap/>
            <w:vAlign w:val="bottom"/>
            <w:hideMark/>
          </w:tcPr>
          <w:p w14:paraId="5ED6A3B5" w14:textId="77777777" w:rsidR="007D4FFB" w:rsidRPr="007D4FFB" w:rsidRDefault="007D4FFB" w:rsidP="007D4FFB">
            <w:pPr>
              <w:jc w:val="center"/>
              <w:rPr>
                <w:color w:val="000000"/>
                <w:sz w:val="22"/>
                <w:szCs w:val="22"/>
              </w:rPr>
            </w:pPr>
            <w:r w:rsidRPr="007D4FFB">
              <w:rPr>
                <w:color w:val="000000"/>
                <w:sz w:val="22"/>
                <w:szCs w:val="22"/>
              </w:rPr>
              <w:t>14,540</w:t>
            </w:r>
          </w:p>
        </w:tc>
        <w:tc>
          <w:tcPr>
            <w:tcW w:w="1654" w:type="dxa"/>
            <w:tcBorders>
              <w:top w:val="double" w:sz="4" w:space="0" w:color="auto"/>
              <w:left w:val="nil"/>
              <w:bottom w:val="nil"/>
              <w:right w:val="nil"/>
            </w:tcBorders>
            <w:shd w:val="clear" w:color="auto" w:fill="auto"/>
            <w:noWrap/>
            <w:vAlign w:val="bottom"/>
            <w:hideMark/>
          </w:tcPr>
          <w:p w14:paraId="6B53524F" w14:textId="77777777" w:rsidR="007D4FFB" w:rsidRPr="007D4FFB" w:rsidRDefault="007D4FFB" w:rsidP="007D4FFB">
            <w:pPr>
              <w:jc w:val="center"/>
              <w:rPr>
                <w:color w:val="000000"/>
                <w:sz w:val="22"/>
                <w:szCs w:val="22"/>
              </w:rPr>
            </w:pPr>
            <w:r w:rsidRPr="007D4FFB">
              <w:rPr>
                <w:color w:val="000000"/>
                <w:sz w:val="22"/>
                <w:szCs w:val="22"/>
              </w:rPr>
              <w:t>0,000</w:t>
            </w:r>
          </w:p>
        </w:tc>
      </w:tr>
      <w:tr w:rsidR="007D4FFB" w:rsidRPr="007D4FFB" w14:paraId="1D912EE4" w14:textId="77777777" w:rsidTr="007D4FFB">
        <w:trPr>
          <w:trHeight w:val="287"/>
        </w:trPr>
        <w:tc>
          <w:tcPr>
            <w:tcW w:w="2267" w:type="dxa"/>
            <w:tcBorders>
              <w:top w:val="nil"/>
              <w:left w:val="nil"/>
              <w:bottom w:val="nil"/>
              <w:right w:val="nil"/>
            </w:tcBorders>
            <w:shd w:val="clear" w:color="auto" w:fill="auto"/>
            <w:noWrap/>
            <w:vAlign w:val="bottom"/>
          </w:tcPr>
          <w:p w14:paraId="7DB92BE3" w14:textId="00B6D5D2" w:rsidR="007D4FFB" w:rsidRDefault="007D4FFB" w:rsidP="007D4FFB">
            <w:pPr>
              <w:rPr>
                <w:i/>
                <w:iCs/>
                <w:color w:val="000000"/>
                <w:sz w:val="22"/>
                <w:szCs w:val="22"/>
                <w:lang w:val="es-ES"/>
              </w:rPr>
            </w:pPr>
            <w:r w:rsidRPr="007D4FFB">
              <w:rPr>
                <w:i/>
                <w:iCs/>
                <w:color w:val="000000"/>
                <w:sz w:val="22"/>
                <w:szCs w:val="22"/>
              </w:rPr>
              <w:t>age</w:t>
            </w:r>
          </w:p>
        </w:tc>
        <w:tc>
          <w:tcPr>
            <w:tcW w:w="1654" w:type="dxa"/>
            <w:tcBorders>
              <w:top w:val="nil"/>
              <w:left w:val="nil"/>
              <w:bottom w:val="nil"/>
              <w:right w:val="nil"/>
            </w:tcBorders>
            <w:shd w:val="clear" w:color="auto" w:fill="auto"/>
            <w:noWrap/>
            <w:vAlign w:val="bottom"/>
          </w:tcPr>
          <w:p w14:paraId="43D5A5FD" w14:textId="013576F7" w:rsidR="007D4FFB" w:rsidRPr="007D4FFB" w:rsidRDefault="007D4FFB" w:rsidP="007D4FFB">
            <w:pPr>
              <w:jc w:val="center"/>
              <w:rPr>
                <w:color w:val="000000"/>
                <w:sz w:val="22"/>
                <w:szCs w:val="22"/>
              </w:rPr>
            </w:pPr>
            <w:r w:rsidRPr="007D4FFB">
              <w:rPr>
                <w:color w:val="000000"/>
                <w:sz w:val="22"/>
                <w:szCs w:val="22"/>
              </w:rPr>
              <w:t>0,012</w:t>
            </w:r>
          </w:p>
        </w:tc>
        <w:tc>
          <w:tcPr>
            <w:tcW w:w="1654" w:type="dxa"/>
            <w:tcBorders>
              <w:top w:val="nil"/>
              <w:left w:val="nil"/>
              <w:bottom w:val="nil"/>
              <w:right w:val="nil"/>
            </w:tcBorders>
            <w:shd w:val="clear" w:color="auto" w:fill="auto"/>
            <w:noWrap/>
            <w:vAlign w:val="bottom"/>
          </w:tcPr>
          <w:p w14:paraId="764DC4EE" w14:textId="7B219282" w:rsidR="007D4FFB" w:rsidRPr="007D4FFB" w:rsidRDefault="007D4FFB" w:rsidP="007D4FFB">
            <w:pPr>
              <w:jc w:val="center"/>
              <w:rPr>
                <w:color w:val="000000"/>
                <w:sz w:val="22"/>
                <w:szCs w:val="22"/>
              </w:rPr>
            </w:pPr>
            <w:r w:rsidRPr="007D4FFB">
              <w:rPr>
                <w:color w:val="000000"/>
                <w:sz w:val="22"/>
                <w:szCs w:val="22"/>
              </w:rPr>
              <w:t>0,002</w:t>
            </w:r>
          </w:p>
        </w:tc>
        <w:tc>
          <w:tcPr>
            <w:tcW w:w="1795" w:type="dxa"/>
            <w:tcBorders>
              <w:top w:val="nil"/>
              <w:left w:val="nil"/>
              <w:bottom w:val="nil"/>
              <w:right w:val="nil"/>
            </w:tcBorders>
            <w:shd w:val="clear" w:color="auto" w:fill="auto"/>
            <w:noWrap/>
            <w:vAlign w:val="bottom"/>
          </w:tcPr>
          <w:p w14:paraId="2088DF7D" w14:textId="51FE7414" w:rsidR="007D4FFB" w:rsidRPr="007D4FFB" w:rsidRDefault="007D4FFB" w:rsidP="007D4FFB">
            <w:pPr>
              <w:jc w:val="center"/>
              <w:rPr>
                <w:color w:val="000000"/>
                <w:sz w:val="22"/>
                <w:szCs w:val="22"/>
              </w:rPr>
            </w:pPr>
            <w:r w:rsidRPr="007D4FFB">
              <w:rPr>
                <w:color w:val="000000"/>
                <w:sz w:val="22"/>
                <w:szCs w:val="22"/>
              </w:rPr>
              <w:t>5,993</w:t>
            </w:r>
          </w:p>
        </w:tc>
        <w:tc>
          <w:tcPr>
            <w:tcW w:w="1654" w:type="dxa"/>
            <w:tcBorders>
              <w:top w:val="nil"/>
              <w:left w:val="nil"/>
              <w:bottom w:val="nil"/>
              <w:right w:val="nil"/>
            </w:tcBorders>
            <w:shd w:val="clear" w:color="auto" w:fill="auto"/>
            <w:noWrap/>
            <w:vAlign w:val="bottom"/>
          </w:tcPr>
          <w:p w14:paraId="3DF29028" w14:textId="29B815AF" w:rsidR="007D4FFB" w:rsidRPr="007D4FFB" w:rsidRDefault="007D4FFB" w:rsidP="007D4FFB">
            <w:pPr>
              <w:jc w:val="center"/>
              <w:rPr>
                <w:color w:val="000000"/>
                <w:sz w:val="22"/>
                <w:szCs w:val="22"/>
              </w:rPr>
            </w:pPr>
            <w:r w:rsidRPr="007D4FFB">
              <w:rPr>
                <w:color w:val="000000"/>
                <w:sz w:val="22"/>
                <w:szCs w:val="22"/>
              </w:rPr>
              <w:t>0,000</w:t>
            </w:r>
          </w:p>
        </w:tc>
      </w:tr>
      <w:tr w:rsidR="007D4FFB" w:rsidRPr="007D4FFB" w14:paraId="6FF3C082" w14:textId="77777777" w:rsidTr="007D4FFB">
        <w:trPr>
          <w:trHeight w:val="287"/>
        </w:trPr>
        <w:tc>
          <w:tcPr>
            <w:tcW w:w="2267" w:type="dxa"/>
            <w:tcBorders>
              <w:top w:val="nil"/>
              <w:left w:val="nil"/>
              <w:bottom w:val="nil"/>
              <w:right w:val="nil"/>
            </w:tcBorders>
            <w:shd w:val="clear" w:color="auto" w:fill="auto"/>
            <w:noWrap/>
            <w:vAlign w:val="bottom"/>
            <w:hideMark/>
          </w:tcPr>
          <w:p w14:paraId="16340F05" w14:textId="0477B30E" w:rsidR="007D4FFB" w:rsidRPr="007D4FFB" w:rsidRDefault="00041F52" w:rsidP="007D4FFB">
            <w:pPr>
              <w:rPr>
                <w:i/>
                <w:iCs/>
                <w:color w:val="000000"/>
                <w:sz w:val="22"/>
                <w:szCs w:val="22"/>
                <w:lang w:val="es-ES"/>
              </w:rPr>
            </w:pPr>
            <w:r>
              <w:rPr>
                <w:i/>
                <w:iCs/>
                <w:color w:val="000000"/>
                <w:sz w:val="22"/>
                <w:szCs w:val="22"/>
                <w:lang w:val="es-ES"/>
              </w:rPr>
              <w:t>log(</w:t>
            </w:r>
            <w:proofErr w:type="spellStart"/>
            <w:r w:rsidR="007D4FFB">
              <w:rPr>
                <w:i/>
                <w:iCs/>
                <w:color w:val="000000"/>
                <w:sz w:val="22"/>
                <w:szCs w:val="22"/>
                <w:lang w:val="es-ES"/>
              </w:rPr>
              <w:t>income</w:t>
            </w:r>
            <w:proofErr w:type="spellEnd"/>
            <w:r>
              <w:rPr>
                <w:i/>
                <w:iCs/>
                <w:color w:val="000000"/>
                <w:sz w:val="22"/>
                <w:szCs w:val="22"/>
                <w:lang w:val="es-ES"/>
              </w:rPr>
              <w:t>)</w:t>
            </w:r>
          </w:p>
        </w:tc>
        <w:tc>
          <w:tcPr>
            <w:tcW w:w="1654" w:type="dxa"/>
            <w:tcBorders>
              <w:top w:val="nil"/>
              <w:left w:val="nil"/>
              <w:bottom w:val="nil"/>
              <w:right w:val="nil"/>
            </w:tcBorders>
            <w:shd w:val="clear" w:color="auto" w:fill="auto"/>
            <w:noWrap/>
            <w:vAlign w:val="bottom"/>
            <w:hideMark/>
          </w:tcPr>
          <w:p w14:paraId="6630E9E3" w14:textId="77777777" w:rsidR="007D4FFB" w:rsidRPr="007D4FFB" w:rsidRDefault="007D4FFB" w:rsidP="007D4FFB">
            <w:pPr>
              <w:jc w:val="center"/>
              <w:rPr>
                <w:color w:val="000000"/>
                <w:sz w:val="22"/>
                <w:szCs w:val="22"/>
              </w:rPr>
            </w:pPr>
            <w:r w:rsidRPr="007D4FFB">
              <w:rPr>
                <w:color w:val="000000"/>
                <w:sz w:val="22"/>
                <w:szCs w:val="22"/>
              </w:rPr>
              <w:t>0,078</w:t>
            </w:r>
          </w:p>
        </w:tc>
        <w:tc>
          <w:tcPr>
            <w:tcW w:w="1654" w:type="dxa"/>
            <w:tcBorders>
              <w:top w:val="nil"/>
              <w:left w:val="nil"/>
              <w:bottom w:val="nil"/>
              <w:right w:val="nil"/>
            </w:tcBorders>
            <w:shd w:val="clear" w:color="auto" w:fill="auto"/>
            <w:noWrap/>
            <w:vAlign w:val="bottom"/>
            <w:hideMark/>
          </w:tcPr>
          <w:p w14:paraId="7D8996B5" w14:textId="77777777" w:rsidR="007D4FFB" w:rsidRPr="007D4FFB" w:rsidRDefault="007D4FFB" w:rsidP="007D4FFB">
            <w:pPr>
              <w:jc w:val="center"/>
              <w:rPr>
                <w:color w:val="000000"/>
                <w:sz w:val="22"/>
                <w:szCs w:val="22"/>
              </w:rPr>
            </w:pPr>
            <w:r w:rsidRPr="007D4FFB">
              <w:rPr>
                <w:color w:val="000000"/>
                <w:sz w:val="22"/>
                <w:szCs w:val="22"/>
              </w:rPr>
              <w:t>0,020</w:t>
            </w:r>
          </w:p>
        </w:tc>
        <w:tc>
          <w:tcPr>
            <w:tcW w:w="1795" w:type="dxa"/>
            <w:tcBorders>
              <w:top w:val="nil"/>
              <w:left w:val="nil"/>
              <w:bottom w:val="nil"/>
              <w:right w:val="nil"/>
            </w:tcBorders>
            <w:shd w:val="clear" w:color="auto" w:fill="auto"/>
            <w:noWrap/>
            <w:vAlign w:val="bottom"/>
            <w:hideMark/>
          </w:tcPr>
          <w:p w14:paraId="22679784" w14:textId="77777777" w:rsidR="007D4FFB" w:rsidRPr="007D4FFB" w:rsidRDefault="007D4FFB" w:rsidP="007D4FFB">
            <w:pPr>
              <w:jc w:val="center"/>
              <w:rPr>
                <w:color w:val="000000"/>
                <w:sz w:val="22"/>
                <w:szCs w:val="22"/>
              </w:rPr>
            </w:pPr>
            <w:r w:rsidRPr="007D4FFB">
              <w:rPr>
                <w:color w:val="000000"/>
                <w:sz w:val="22"/>
                <w:szCs w:val="22"/>
              </w:rPr>
              <w:t>3,911</w:t>
            </w:r>
          </w:p>
        </w:tc>
        <w:tc>
          <w:tcPr>
            <w:tcW w:w="1654" w:type="dxa"/>
            <w:tcBorders>
              <w:top w:val="nil"/>
              <w:left w:val="nil"/>
              <w:bottom w:val="nil"/>
              <w:right w:val="nil"/>
            </w:tcBorders>
            <w:shd w:val="clear" w:color="auto" w:fill="auto"/>
            <w:noWrap/>
            <w:vAlign w:val="bottom"/>
            <w:hideMark/>
          </w:tcPr>
          <w:p w14:paraId="7B2C5CDF" w14:textId="77777777" w:rsidR="007D4FFB" w:rsidRPr="007D4FFB" w:rsidRDefault="007D4FFB" w:rsidP="007D4FFB">
            <w:pPr>
              <w:jc w:val="center"/>
              <w:rPr>
                <w:color w:val="000000"/>
                <w:sz w:val="22"/>
                <w:szCs w:val="22"/>
              </w:rPr>
            </w:pPr>
            <w:r w:rsidRPr="007D4FFB">
              <w:rPr>
                <w:color w:val="000000"/>
                <w:sz w:val="22"/>
                <w:szCs w:val="22"/>
              </w:rPr>
              <w:t>0,000</w:t>
            </w:r>
          </w:p>
        </w:tc>
      </w:tr>
      <w:tr w:rsidR="007D4FFB" w:rsidRPr="007D4FFB" w14:paraId="39707563" w14:textId="77777777" w:rsidTr="007D4FFB">
        <w:trPr>
          <w:trHeight w:val="287"/>
        </w:trPr>
        <w:tc>
          <w:tcPr>
            <w:tcW w:w="2267" w:type="dxa"/>
            <w:tcBorders>
              <w:top w:val="nil"/>
              <w:left w:val="nil"/>
              <w:bottom w:val="nil"/>
              <w:right w:val="nil"/>
            </w:tcBorders>
            <w:shd w:val="clear" w:color="auto" w:fill="auto"/>
            <w:noWrap/>
            <w:vAlign w:val="bottom"/>
            <w:hideMark/>
          </w:tcPr>
          <w:p w14:paraId="752D31D6" w14:textId="649FA4C8" w:rsidR="007D4FFB" w:rsidRPr="007D4FFB" w:rsidRDefault="007D4FFB" w:rsidP="007D4FFB">
            <w:pPr>
              <w:rPr>
                <w:i/>
                <w:iCs/>
                <w:color w:val="000000"/>
                <w:sz w:val="22"/>
                <w:szCs w:val="22"/>
                <w:lang w:val="es-ES"/>
              </w:rPr>
            </w:pPr>
            <w:proofErr w:type="spellStart"/>
            <w:r>
              <w:rPr>
                <w:i/>
                <w:iCs/>
                <w:color w:val="000000"/>
                <w:sz w:val="22"/>
                <w:szCs w:val="22"/>
                <w:lang w:val="es-ES"/>
              </w:rPr>
              <w:t>gender</w:t>
            </w:r>
            <w:proofErr w:type="spellEnd"/>
          </w:p>
        </w:tc>
        <w:tc>
          <w:tcPr>
            <w:tcW w:w="1654" w:type="dxa"/>
            <w:tcBorders>
              <w:top w:val="nil"/>
              <w:left w:val="nil"/>
              <w:bottom w:val="nil"/>
              <w:right w:val="nil"/>
            </w:tcBorders>
            <w:shd w:val="clear" w:color="auto" w:fill="auto"/>
            <w:noWrap/>
            <w:vAlign w:val="bottom"/>
            <w:hideMark/>
          </w:tcPr>
          <w:p w14:paraId="61DDCD42" w14:textId="77777777" w:rsidR="007D4FFB" w:rsidRPr="007D4FFB" w:rsidRDefault="007D4FFB" w:rsidP="007D4FFB">
            <w:pPr>
              <w:jc w:val="center"/>
              <w:rPr>
                <w:color w:val="000000"/>
                <w:sz w:val="22"/>
                <w:szCs w:val="22"/>
              </w:rPr>
            </w:pPr>
            <w:r w:rsidRPr="007D4FFB">
              <w:rPr>
                <w:color w:val="000000"/>
                <w:sz w:val="22"/>
                <w:szCs w:val="22"/>
              </w:rPr>
              <w:t>0,172</w:t>
            </w:r>
          </w:p>
        </w:tc>
        <w:tc>
          <w:tcPr>
            <w:tcW w:w="1654" w:type="dxa"/>
            <w:tcBorders>
              <w:top w:val="nil"/>
              <w:left w:val="nil"/>
              <w:bottom w:val="nil"/>
              <w:right w:val="nil"/>
            </w:tcBorders>
            <w:shd w:val="clear" w:color="auto" w:fill="auto"/>
            <w:noWrap/>
            <w:vAlign w:val="bottom"/>
            <w:hideMark/>
          </w:tcPr>
          <w:p w14:paraId="15185A2F" w14:textId="77777777" w:rsidR="007D4FFB" w:rsidRPr="007D4FFB" w:rsidRDefault="007D4FFB" w:rsidP="007D4FFB">
            <w:pPr>
              <w:jc w:val="center"/>
              <w:rPr>
                <w:color w:val="000000"/>
                <w:sz w:val="22"/>
                <w:szCs w:val="22"/>
              </w:rPr>
            </w:pPr>
            <w:r w:rsidRPr="007D4FFB">
              <w:rPr>
                <w:color w:val="000000"/>
                <w:sz w:val="22"/>
                <w:szCs w:val="22"/>
              </w:rPr>
              <w:t>0,073</w:t>
            </w:r>
          </w:p>
        </w:tc>
        <w:tc>
          <w:tcPr>
            <w:tcW w:w="1795" w:type="dxa"/>
            <w:tcBorders>
              <w:top w:val="nil"/>
              <w:left w:val="nil"/>
              <w:bottom w:val="nil"/>
              <w:right w:val="nil"/>
            </w:tcBorders>
            <w:shd w:val="clear" w:color="auto" w:fill="auto"/>
            <w:noWrap/>
            <w:vAlign w:val="bottom"/>
            <w:hideMark/>
          </w:tcPr>
          <w:p w14:paraId="6248848E" w14:textId="77777777" w:rsidR="007D4FFB" w:rsidRPr="007D4FFB" w:rsidRDefault="007D4FFB" w:rsidP="007D4FFB">
            <w:pPr>
              <w:jc w:val="center"/>
              <w:rPr>
                <w:color w:val="000000"/>
                <w:sz w:val="22"/>
                <w:szCs w:val="22"/>
              </w:rPr>
            </w:pPr>
            <w:r w:rsidRPr="007D4FFB">
              <w:rPr>
                <w:color w:val="000000"/>
                <w:sz w:val="22"/>
                <w:szCs w:val="22"/>
              </w:rPr>
              <w:t>2,376</w:t>
            </w:r>
          </w:p>
        </w:tc>
        <w:tc>
          <w:tcPr>
            <w:tcW w:w="1654" w:type="dxa"/>
            <w:tcBorders>
              <w:top w:val="nil"/>
              <w:left w:val="nil"/>
              <w:bottom w:val="nil"/>
              <w:right w:val="nil"/>
            </w:tcBorders>
            <w:shd w:val="clear" w:color="auto" w:fill="auto"/>
            <w:noWrap/>
            <w:vAlign w:val="bottom"/>
            <w:hideMark/>
          </w:tcPr>
          <w:p w14:paraId="1312205E" w14:textId="77777777" w:rsidR="007D4FFB" w:rsidRPr="007D4FFB" w:rsidRDefault="007D4FFB" w:rsidP="007D4FFB">
            <w:pPr>
              <w:jc w:val="center"/>
              <w:rPr>
                <w:color w:val="000000"/>
                <w:sz w:val="22"/>
                <w:szCs w:val="22"/>
              </w:rPr>
            </w:pPr>
            <w:r w:rsidRPr="007D4FFB">
              <w:rPr>
                <w:color w:val="000000"/>
                <w:sz w:val="22"/>
                <w:szCs w:val="22"/>
              </w:rPr>
              <w:t>0,018</w:t>
            </w:r>
          </w:p>
        </w:tc>
      </w:tr>
      <w:tr w:rsidR="007D4FFB" w:rsidRPr="007D4FFB" w14:paraId="67BF9B02" w14:textId="77777777" w:rsidTr="007D4FFB">
        <w:trPr>
          <w:trHeight w:val="287"/>
        </w:trPr>
        <w:tc>
          <w:tcPr>
            <w:tcW w:w="2267" w:type="dxa"/>
            <w:tcBorders>
              <w:top w:val="nil"/>
              <w:left w:val="nil"/>
              <w:bottom w:val="nil"/>
              <w:right w:val="nil"/>
            </w:tcBorders>
            <w:shd w:val="clear" w:color="auto" w:fill="auto"/>
            <w:noWrap/>
            <w:vAlign w:val="bottom"/>
            <w:hideMark/>
          </w:tcPr>
          <w:p w14:paraId="2A543C7F" w14:textId="5B8189EF" w:rsidR="007D4FFB" w:rsidRPr="007D4FFB" w:rsidRDefault="007D4FFB" w:rsidP="007D4FFB">
            <w:pPr>
              <w:rPr>
                <w:i/>
                <w:iCs/>
                <w:color w:val="000000"/>
                <w:sz w:val="22"/>
                <w:szCs w:val="22"/>
              </w:rPr>
            </w:pPr>
            <w:r w:rsidRPr="007D4FFB">
              <w:rPr>
                <w:i/>
                <w:iCs/>
                <w:color w:val="000000"/>
                <w:sz w:val="22"/>
                <w:szCs w:val="22"/>
              </w:rPr>
              <w:t>education</w:t>
            </w:r>
          </w:p>
        </w:tc>
        <w:tc>
          <w:tcPr>
            <w:tcW w:w="1654" w:type="dxa"/>
            <w:tcBorders>
              <w:top w:val="nil"/>
              <w:left w:val="nil"/>
              <w:bottom w:val="nil"/>
              <w:right w:val="nil"/>
            </w:tcBorders>
            <w:shd w:val="clear" w:color="auto" w:fill="auto"/>
            <w:noWrap/>
            <w:vAlign w:val="bottom"/>
            <w:hideMark/>
          </w:tcPr>
          <w:p w14:paraId="7CA18C54" w14:textId="77777777" w:rsidR="007D4FFB" w:rsidRPr="007D4FFB" w:rsidRDefault="007D4FFB" w:rsidP="007D4FFB">
            <w:pPr>
              <w:jc w:val="center"/>
              <w:rPr>
                <w:color w:val="000000"/>
                <w:sz w:val="22"/>
                <w:szCs w:val="22"/>
              </w:rPr>
            </w:pPr>
            <w:r w:rsidRPr="007D4FFB">
              <w:rPr>
                <w:color w:val="000000"/>
                <w:sz w:val="22"/>
                <w:szCs w:val="22"/>
              </w:rPr>
              <w:t>0,241</w:t>
            </w:r>
          </w:p>
        </w:tc>
        <w:tc>
          <w:tcPr>
            <w:tcW w:w="1654" w:type="dxa"/>
            <w:tcBorders>
              <w:top w:val="nil"/>
              <w:left w:val="nil"/>
              <w:bottom w:val="nil"/>
              <w:right w:val="nil"/>
            </w:tcBorders>
            <w:shd w:val="clear" w:color="auto" w:fill="auto"/>
            <w:noWrap/>
            <w:vAlign w:val="bottom"/>
            <w:hideMark/>
          </w:tcPr>
          <w:p w14:paraId="5C917B8F" w14:textId="77777777" w:rsidR="007D4FFB" w:rsidRPr="007D4FFB" w:rsidRDefault="007D4FFB" w:rsidP="007D4FFB">
            <w:pPr>
              <w:jc w:val="center"/>
              <w:rPr>
                <w:color w:val="000000"/>
                <w:sz w:val="22"/>
                <w:szCs w:val="22"/>
              </w:rPr>
            </w:pPr>
            <w:r w:rsidRPr="007D4FFB">
              <w:rPr>
                <w:color w:val="000000"/>
                <w:sz w:val="22"/>
                <w:szCs w:val="22"/>
              </w:rPr>
              <w:t>0,068</w:t>
            </w:r>
          </w:p>
        </w:tc>
        <w:tc>
          <w:tcPr>
            <w:tcW w:w="1795" w:type="dxa"/>
            <w:tcBorders>
              <w:top w:val="nil"/>
              <w:left w:val="nil"/>
              <w:bottom w:val="nil"/>
              <w:right w:val="nil"/>
            </w:tcBorders>
            <w:shd w:val="clear" w:color="auto" w:fill="auto"/>
            <w:noWrap/>
            <w:vAlign w:val="bottom"/>
            <w:hideMark/>
          </w:tcPr>
          <w:p w14:paraId="543DFF54" w14:textId="77777777" w:rsidR="007D4FFB" w:rsidRPr="007D4FFB" w:rsidRDefault="007D4FFB" w:rsidP="007D4FFB">
            <w:pPr>
              <w:jc w:val="center"/>
              <w:rPr>
                <w:color w:val="000000"/>
                <w:sz w:val="22"/>
                <w:szCs w:val="22"/>
              </w:rPr>
            </w:pPr>
            <w:r w:rsidRPr="007D4FFB">
              <w:rPr>
                <w:color w:val="000000"/>
                <w:sz w:val="22"/>
                <w:szCs w:val="22"/>
              </w:rPr>
              <w:t>3,563</w:t>
            </w:r>
          </w:p>
        </w:tc>
        <w:tc>
          <w:tcPr>
            <w:tcW w:w="1654" w:type="dxa"/>
            <w:tcBorders>
              <w:top w:val="nil"/>
              <w:left w:val="nil"/>
              <w:bottom w:val="nil"/>
              <w:right w:val="nil"/>
            </w:tcBorders>
            <w:shd w:val="clear" w:color="auto" w:fill="auto"/>
            <w:noWrap/>
            <w:vAlign w:val="bottom"/>
            <w:hideMark/>
          </w:tcPr>
          <w:p w14:paraId="6979264F" w14:textId="77777777" w:rsidR="007D4FFB" w:rsidRPr="007D4FFB" w:rsidRDefault="007D4FFB" w:rsidP="007D4FFB">
            <w:pPr>
              <w:jc w:val="center"/>
              <w:rPr>
                <w:color w:val="000000"/>
                <w:sz w:val="22"/>
                <w:szCs w:val="22"/>
              </w:rPr>
            </w:pPr>
            <w:r w:rsidRPr="007D4FFB">
              <w:rPr>
                <w:color w:val="000000"/>
                <w:sz w:val="22"/>
                <w:szCs w:val="22"/>
              </w:rPr>
              <w:t>0,000</w:t>
            </w:r>
          </w:p>
        </w:tc>
      </w:tr>
      <w:tr w:rsidR="007D4FFB" w:rsidRPr="007D4FFB" w14:paraId="4CD5BE6A" w14:textId="77777777" w:rsidTr="007D4FFB">
        <w:trPr>
          <w:trHeight w:val="287"/>
        </w:trPr>
        <w:tc>
          <w:tcPr>
            <w:tcW w:w="2267" w:type="dxa"/>
            <w:tcBorders>
              <w:top w:val="nil"/>
              <w:left w:val="nil"/>
              <w:bottom w:val="nil"/>
              <w:right w:val="nil"/>
            </w:tcBorders>
            <w:shd w:val="clear" w:color="auto" w:fill="auto"/>
            <w:noWrap/>
            <w:vAlign w:val="bottom"/>
            <w:hideMark/>
          </w:tcPr>
          <w:p w14:paraId="3CAA94A9" w14:textId="13958AA4" w:rsidR="007D4FFB" w:rsidRPr="007D4FFB" w:rsidRDefault="007D4FFB" w:rsidP="007D4FFB">
            <w:pPr>
              <w:rPr>
                <w:i/>
                <w:iCs/>
                <w:color w:val="000000"/>
                <w:sz w:val="22"/>
                <w:szCs w:val="22"/>
              </w:rPr>
            </w:pPr>
            <w:r w:rsidRPr="007D4FFB">
              <w:rPr>
                <w:i/>
                <w:iCs/>
                <w:color w:val="000000"/>
                <w:sz w:val="22"/>
                <w:szCs w:val="22"/>
              </w:rPr>
              <w:t>living</w:t>
            </w:r>
          </w:p>
        </w:tc>
        <w:tc>
          <w:tcPr>
            <w:tcW w:w="1654" w:type="dxa"/>
            <w:tcBorders>
              <w:top w:val="nil"/>
              <w:left w:val="nil"/>
              <w:bottom w:val="nil"/>
              <w:right w:val="nil"/>
            </w:tcBorders>
            <w:shd w:val="clear" w:color="auto" w:fill="auto"/>
            <w:noWrap/>
            <w:vAlign w:val="bottom"/>
            <w:hideMark/>
          </w:tcPr>
          <w:p w14:paraId="7715F7AD" w14:textId="77777777" w:rsidR="007D4FFB" w:rsidRPr="007D4FFB" w:rsidRDefault="007D4FFB" w:rsidP="007D4FFB">
            <w:pPr>
              <w:jc w:val="center"/>
              <w:rPr>
                <w:color w:val="000000"/>
                <w:sz w:val="22"/>
                <w:szCs w:val="22"/>
              </w:rPr>
            </w:pPr>
            <w:r w:rsidRPr="007D4FFB">
              <w:rPr>
                <w:color w:val="000000"/>
                <w:sz w:val="22"/>
                <w:szCs w:val="22"/>
              </w:rPr>
              <w:t>0,179</w:t>
            </w:r>
          </w:p>
        </w:tc>
        <w:tc>
          <w:tcPr>
            <w:tcW w:w="1654" w:type="dxa"/>
            <w:tcBorders>
              <w:top w:val="nil"/>
              <w:left w:val="nil"/>
              <w:bottom w:val="nil"/>
              <w:right w:val="nil"/>
            </w:tcBorders>
            <w:shd w:val="clear" w:color="auto" w:fill="auto"/>
            <w:noWrap/>
            <w:vAlign w:val="bottom"/>
            <w:hideMark/>
          </w:tcPr>
          <w:p w14:paraId="20CB9159" w14:textId="77777777" w:rsidR="007D4FFB" w:rsidRPr="007D4FFB" w:rsidRDefault="007D4FFB" w:rsidP="007D4FFB">
            <w:pPr>
              <w:jc w:val="center"/>
              <w:rPr>
                <w:color w:val="000000"/>
                <w:sz w:val="22"/>
                <w:szCs w:val="22"/>
              </w:rPr>
            </w:pPr>
            <w:r w:rsidRPr="007D4FFB">
              <w:rPr>
                <w:color w:val="000000"/>
                <w:sz w:val="22"/>
                <w:szCs w:val="22"/>
              </w:rPr>
              <w:t>0,094</w:t>
            </w:r>
          </w:p>
        </w:tc>
        <w:tc>
          <w:tcPr>
            <w:tcW w:w="1795" w:type="dxa"/>
            <w:tcBorders>
              <w:top w:val="nil"/>
              <w:left w:val="nil"/>
              <w:bottom w:val="nil"/>
              <w:right w:val="nil"/>
            </w:tcBorders>
            <w:shd w:val="clear" w:color="auto" w:fill="auto"/>
            <w:noWrap/>
            <w:vAlign w:val="bottom"/>
            <w:hideMark/>
          </w:tcPr>
          <w:p w14:paraId="3C93D395" w14:textId="77777777" w:rsidR="007D4FFB" w:rsidRPr="007D4FFB" w:rsidRDefault="007D4FFB" w:rsidP="007D4FFB">
            <w:pPr>
              <w:jc w:val="center"/>
              <w:rPr>
                <w:color w:val="000000"/>
                <w:sz w:val="22"/>
                <w:szCs w:val="22"/>
              </w:rPr>
            </w:pPr>
            <w:r w:rsidRPr="007D4FFB">
              <w:rPr>
                <w:color w:val="000000"/>
                <w:sz w:val="22"/>
                <w:szCs w:val="22"/>
              </w:rPr>
              <w:t>1,912</w:t>
            </w:r>
          </w:p>
        </w:tc>
        <w:tc>
          <w:tcPr>
            <w:tcW w:w="1654" w:type="dxa"/>
            <w:tcBorders>
              <w:top w:val="nil"/>
              <w:left w:val="nil"/>
              <w:bottom w:val="nil"/>
              <w:right w:val="nil"/>
            </w:tcBorders>
            <w:shd w:val="clear" w:color="auto" w:fill="auto"/>
            <w:noWrap/>
            <w:vAlign w:val="bottom"/>
            <w:hideMark/>
          </w:tcPr>
          <w:p w14:paraId="0E28C337" w14:textId="77777777" w:rsidR="007D4FFB" w:rsidRPr="007D4FFB" w:rsidRDefault="007D4FFB" w:rsidP="007D4FFB">
            <w:pPr>
              <w:jc w:val="center"/>
              <w:rPr>
                <w:color w:val="000000"/>
                <w:sz w:val="22"/>
                <w:szCs w:val="22"/>
              </w:rPr>
            </w:pPr>
            <w:r w:rsidRPr="007D4FFB">
              <w:rPr>
                <w:color w:val="000000"/>
                <w:sz w:val="22"/>
                <w:szCs w:val="22"/>
              </w:rPr>
              <w:t>0,050</w:t>
            </w:r>
          </w:p>
        </w:tc>
      </w:tr>
      <w:tr w:rsidR="007D4FFB" w:rsidRPr="007D4FFB" w14:paraId="537F16F9" w14:textId="77777777" w:rsidTr="007D4FFB">
        <w:trPr>
          <w:trHeight w:val="287"/>
        </w:trPr>
        <w:tc>
          <w:tcPr>
            <w:tcW w:w="2267" w:type="dxa"/>
            <w:tcBorders>
              <w:top w:val="nil"/>
              <w:left w:val="nil"/>
              <w:bottom w:val="double" w:sz="4" w:space="0" w:color="auto"/>
              <w:right w:val="nil"/>
            </w:tcBorders>
            <w:shd w:val="clear" w:color="auto" w:fill="auto"/>
            <w:noWrap/>
            <w:vAlign w:val="bottom"/>
            <w:hideMark/>
          </w:tcPr>
          <w:p w14:paraId="3EF6D381" w14:textId="6AF46FDF" w:rsidR="007D4FFB" w:rsidRPr="007D4FFB" w:rsidRDefault="007D4FFB" w:rsidP="007D4FFB">
            <w:pPr>
              <w:rPr>
                <w:i/>
                <w:iCs/>
                <w:color w:val="000000"/>
                <w:sz w:val="22"/>
                <w:szCs w:val="22"/>
              </w:rPr>
            </w:pPr>
            <w:r w:rsidRPr="007D4FFB">
              <w:rPr>
                <w:i/>
                <w:iCs/>
                <w:color w:val="000000"/>
                <w:sz w:val="22"/>
                <w:szCs w:val="22"/>
              </w:rPr>
              <w:t>partner</w:t>
            </w:r>
          </w:p>
        </w:tc>
        <w:tc>
          <w:tcPr>
            <w:tcW w:w="1654" w:type="dxa"/>
            <w:tcBorders>
              <w:top w:val="nil"/>
              <w:left w:val="nil"/>
              <w:bottom w:val="double" w:sz="4" w:space="0" w:color="auto"/>
              <w:right w:val="nil"/>
            </w:tcBorders>
            <w:shd w:val="clear" w:color="auto" w:fill="auto"/>
            <w:noWrap/>
            <w:vAlign w:val="bottom"/>
            <w:hideMark/>
          </w:tcPr>
          <w:p w14:paraId="1E1CE464" w14:textId="77777777" w:rsidR="007D4FFB" w:rsidRPr="007D4FFB" w:rsidRDefault="007D4FFB" w:rsidP="007D4FFB">
            <w:pPr>
              <w:jc w:val="center"/>
              <w:rPr>
                <w:color w:val="000000"/>
                <w:sz w:val="22"/>
                <w:szCs w:val="22"/>
              </w:rPr>
            </w:pPr>
            <w:r w:rsidRPr="007D4FFB">
              <w:rPr>
                <w:color w:val="000000"/>
                <w:sz w:val="22"/>
                <w:szCs w:val="22"/>
              </w:rPr>
              <w:t>0,185</w:t>
            </w:r>
          </w:p>
        </w:tc>
        <w:tc>
          <w:tcPr>
            <w:tcW w:w="1654" w:type="dxa"/>
            <w:tcBorders>
              <w:top w:val="nil"/>
              <w:left w:val="nil"/>
              <w:bottom w:val="double" w:sz="4" w:space="0" w:color="auto"/>
              <w:right w:val="nil"/>
            </w:tcBorders>
            <w:shd w:val="clear" w:color="auto" w:fill="auto"/>
            <w:noWrap/>
            <w:vAlign w:val="bottom"/>
            <w:hideMark/>
          </w:tcPr>
          <w:p w14:paraId="557292B7" w14:textId="77777777" w:rsidR="007D4FFB" w:rsidRPr="007D4FFB" w:rsidRDefault="007D4FFB" w:rsidP="007D4FFB">
            <w:pPr>
              <w:jc w:val="center"/>
              <w:rPr>
                <w:color w:val="000000"/>
                <w:sz w:val="22"/>
                <w:szCs w:val="22"/>
              </w:rPr>
            </w:pPr>
            <w:r w:rsidRPr="007D4FFB">
              <w:rPr>
                <w:color w:val="000000"/>
                <w:sz w:val="22"/>
                <w:szCs w:val="22"/>
              </w:rPr>
              <w:t>0,071</w:t>
            </w:r>
          </w:p>
        </w:tc>
        <w:tc>
          <w:tcPr>
            <w:tcW w:w="1795" w:type="dxa"/>
            <w:tcBorders>
              <w:top w:val="nil"/>
              <w:left w:val="nil"/>
              <w:bottom w:val="double" w:sz="4" w:space="0" w:color="auto"/>
              <w:right w:val="nil"/>
            </w:tcBorders>
            <w:shd w:val="clear" w:color="auto" w:fill="auto"/>
            <w:noWrap/>
            <w:vAlign w:val="bottom"/>
            <w:hideMark/>
          </w:tcPr>
          <w:p w14:paraId="27734DC6" w14:textId="77777777" w:rsidR="007D4FFB" w:rsidRPr="007D4FFB" w:rsidRDefault="007D4FFB" w:rsidP="007D4FFB">
            <w:pPr>
              <w:jc w:val="center"/>
              <w:rPr>
                <w:color w:val="000000"/>
                <w:sz w:val="22"/>
                <w:szCs w:val="22"/>
              </w:rPr>
            </w:pPr>
            <w:r w:rsidRPr="007D4FFB">
              <w:rPr>
                <w:color w:val="000000"/>
                <w:sz w:val="22"/>
                <w:szCs w:val="22"/>
              </w:rPr>
              <w:t>2,594</w:t>
            </w:r>
          </w:p>
        </w:tc>
        <w:tc>
          <w:tcPr>
            <w:tcW w:w="1654" w:type="dxa"/>
            <w:tcBorders>
              <w:top w:val="nil"/>
              <w:left w:val="nil"/>
              <w:bottom w:val="double" w:sz="4" w:space="0" w:color="auto"/>
              <w:right w:val="nil"/>
            </w:tcBorders>
            <w:shd w:val="clear" w:color="auto" w:fill="auto"/>
            <w:noWrap/>
            <w:vAlign w:val="bottom"/>
            <w:hideMark/>
          </w:tcPr>
          <w:p w14:paraId="0D7B6FDD" w14:textId="77777777" w:rsidR="007D4FFB" w:rsidRPr="007D4FFB" w:rsidRDefault="007D4FFB" w:rsidP="007D4FFB">
            <w:pPr>
              <w:jc w:val="center"/>
              <w:rPr>
                <w:color w:val="000000"/>
                <w:sz w:val="22"/>
                <w:szCs w:val="22"/>
              </w:rPr>
            </w:pPr>
            <w:r w:rsidRPr="007D4FFB">
              <w:rPr>
                <w:color w:val="000000"/>
                <w:sz w:val="22"/>
                <w:szCs w:val="22"/>
              </w:rPr>
              <w:t>0,010</w:t>
            </w:r>
          </w:p>
        </w:tc>
      </w:tr>
    </w:tbl>
    <w:p w14:paraId="02287A46" w14:textId="296F5A8E" w:rsidR="0002068F" w:rsidRDefault="0002068F" w:rsidP="009A28F3">
      <w:pPr>
        <w:spacing w:line="360" w:lineRule="auto"/>
      </w:pPr>
    </w:p>
    <w:p w14:paraId="2FF1D3E0" w14:textId="77777777" w:rsidR="00F53913" w:rsidRDefault="00F53913" w:rsidP="009A28F3">
      <w:pPr>
        <w:spacing w:line="360" w:lineRule="auto"/>
      </w:pPr>
    </w:p>
    <w:p w14:paraId="7BB2E5AE" w14:textId="233A8FF2" w:rsidR="0002068F" w:rsidRDefault="00D71326" w:rsidP="009A28F3">
      <w:pPr>
        <w:spacing w:line="360" w:lineRule="auto"/>
      </w:pPr>
      <w:r>
        <w:t>As we can appreciate on the regression</w:t>
      </w:r>
      <w:r w:rsidR="00041F52">
        <w:t>,</w:t>
      </w:r>
      <w:r>
        <w:t xml:space="preserve"> there is a clear positive relationship between the rest of the demographic and socioeconomical variables chosen for this study and the wealth of an individual. Moreover, our results are in </w:t>
      </w:r>
      <w:r w:rsidR="00BB393A">
        <w:t>concordance</w:t>
      </w:r>
      <w:r>
        <w:t xml:space="preserve"> with those of </w:t>
      </w:r>
      <w:proofErr w:type="spellStart"/>
      <w:r>
        <w:t>Betermier</w:t>
      </w:r>
      <w:proofErr w:type="spellEnd"/>
      <w:r>
        <w:t xml:space="preserve"> et al (2017)</w:t>
      </w:r>
      <w:r w:rsidR="00A94C81">
        <w:t>.</w:t>
      </w:r>
    </w:p>
    <w:p w14:paraId="0ABB2760" w14:textId="48E23C85" w:rsidR="00D71326" w:rsidRDefault="00D71326" w:rsidP="009A28F3">
      <w:pPr>
        <w:spacing w:line="360" w:lineRule="auto"/>
      </w:pPr>
    </w:p>
    <w:p w14:paraId="2A3883B6" w14:textId="6C6D95B9" w:rsidR="00D71326" w:rsidRDefault="00D71326" w:rsidP="009A28F3">
      <w:pPr>
        <w:spacing w:line="360" w:lineRule="auto"/>
      </w:pPr>
      <w:r>
        <w:t>Consequently, our hypothesis for the answer to the question that our research has as title</w:t>
      </w:r>
      <w:r w:rsidR="00A94C81">
        <w:t xml:space="preserve">, </w:t>
      </w:r>
      <w:r>
        <w:t xml:space="preserve">would lie in an individual who perceives the risk of investing in the long leg of the </w:t>
      </w:r>
      <w:proofErr w:type="spellStart"/>
      <w:r>
        <w:t>Fama</w:t>
      </w:r>
      <w:proofErr w:type="spellEnd"/>
      <w:r>
        <w:t xml:space="preserve">-French model, and who is willing to take it, basing </w:t>
      </w:r>
      <w:r w:rsidR="00942702">
        <w:t>its</w:t>
      </w:r>
      <w:r>
        <w:t xml:space="preserve"> decision on its risk appetite and its capacity to withstand the potential negative consequences of the risk. Based on our academic research on both risk taking and risk bearing capacity, we would expect </w:t>
      </w:r>
      <w:r w:rsidR="00041F52">
        <w:t>an</w:t>
      </w:r>
      <w:r>
        <w:t xml:space="preserve"> older, wealthy, university-educated male, with high income, partner, and owning his accommodation as the </w:t>
      </w:r>
      <w:proofErr w:type="spellStart"/>
      <w:r>
        <w:t>Fama</w:t>
      </w:r>
      <w:proofErr w:type="spellEnd"/>
      <w:r>
        <w:t>-French Investor</w:t>
      </w:r>
      <w:r w:rsidR="00041F52">
        <w:t>.</w:t>
      </w:r>
      <w:r>
        <w:t xml:space="preserve"> </w:t>
      </w:r>
    </w:p>
    <w:p w14:paraId="77AC8738" w14:textId="6B5A0D7E" w:rsidR="0005473C" w:rsidRDefault="0005473C" w:rsidP="009A28F3">
      <w:pPr>
        <w:spacing w:line="360" w:lineRule="auto"/>
      </w:pPr>
    </w:p>
    <w:p w14:paraId="78C481CC" w14:textId="25B46606" w:rsidR="00F53913" w:rsidRDefault="00F53913" w:rsidP="009A28F3">
      <w:pPr>
        <w:spacing w:line="360" w:lineRule="auto"/>
      </w:pPr>
    </w:p>
    <w:p w14:paraId="14BAB1D9" w14:textId="60D05D75" w:rsidR="00F53913" w:rsidRDefault="00F53913" w:rsidP="009A28F3">
      <w:pPr>
        <w:spacing w:line="360" w:lineRule="auto"/>
      </w:pPr>
    </w:p>
    <w:p w14:paraId="349E310A" w14:textId="4350A3BB" w:rsidR="00F53913" w:rsidRDefault="00F53913" w:rsidP="009A28F3">
      <w:pPr>
        <w:spacing w:line="360" w:lineRule="auto"/>
      </w:pPr>
    </w:p>
    <w:p w14:paraId="07A60997" w14:textId="06F139C9" w:rsidR="00F53913" w:rsidRDefault="00F53913" w:rsidP="009A28F3">
      <w:pPr>
        <w:spacing w:line="360" w:lineRule="auto"/>
      </w:pPr>
    </w:p>
    <w:p w14:paraId="6F427F67" w14:textId="590A3155" w:rsidR="00F53913" w:rsidRDefault="00F53913" w:rsidP="009A28F3">
      <w:pPr>
        <w:spacing w:line="360" w:lineRule="auto"/>
      </w:pPr>
    </w:p>
    <w:p w14:paraId="77137699" w14:textId="5F42A108" w:rsidR="00F53913" w:rsidRDefault="00F53913" w:rsidP="009A28F3">
      <w:pPr>
        <w:spacing w:line="360" w:lineRule="auto"/>
      </w:pPr>
    </w:p>
    <w:p w14:paraId="1A2894B0" w14:textId="6287E1EF" w:rsidR="00F53913" w:rsidRDefault="00F53913" w:rsidP="009A28F3">
      <w:pPr>
        <w:spacing w:line="360" w:lineRule="auto"/>
      </w:pPr>
    </w:p>
    <w:p w14:paraId="11F37082" w14:textId="473609D9" w:rsidR="00F53913" w:rsidRDefault="00F53913" w:rsidP="009A28F3">
      <w:pPr>
        <w:spacing w:line="360" w:lineRule="auto"/>
      </w:pPr>
    </w:p>
    <w:p w14:paraId="7F249C06" w14:textId="181ED948" w:rsidR="00F53913" w:rsidRDefault="00F53913" w:rsidP="009A28F3">
      <w:pPr>
        <w:spacing w:line="360" w:lineRule="auto"/>
      </w:pPr>
    </w:p>
    <w:p w14:paraId="7282527B" w14:textId="1034C85D" w:rsidR="00F53913" w:rsidRDefault="00F53913" w:rsidP="009A28F3">
      <w:pPr>
        <w:spacing w:line="360" w:lineRule="auto"/>
      </w:pPr>
    </w:p>
    <w:p w14:paraId="53F74437" w14:textId="230198DA" w:rsidR="00F53913" w:rsidRDefault="00F53913" w:rsidP="009A28F3">
      <w:pPr>
        <w:spacing w:line="360" w:lineRule="auto"/>
      </w:pPr>
    </w:p>
    <w:p w14:paraId="0F51A0B7" w14:textId="5A318821" w:rsidR="00F53913" w:rsidRDefault="00F53913" w:rsidP="009A28F3">
      <w:pPr>
        <w:spacing w:line="360" w:lineRule="auto"/>
      </w:pPr>
    </w:p>
    <w:p w14:paraId="39404091" w14:textId="75552148" w:rsidR="00F53913" w:rsidRDefault="00F53913" w:rsidP="009A28F3">
      <w:pPr>
        <w:spacing w:line="360" w:lineRule="auto"/>
      </w:pPr>
    </w:p>
    <w:p w14:paraId="5DEACF60" w14:textId="75C959DF" w:rsidR="00F53913" w:rsidRDefault="00F53913" w:rsidP="009A28F3">
      <w:pPr>
        <w:spacing w:line="360" w:lineRule="auto"/>
      </w:pPr>
    </w:p>
    <w:p w14:paraId="4889B9B2" w14:textId="416EB309" w:rsidR="00F53913" w:rsidRDefault="00F53913" w:rsidP="009A28F3">
      <w:pPr>
        <w:spacing w:line="360" w:lineRule="auto"/>
      </w:pPr>
    </w:p>
    <w:p w14:paraId="4ED72B92" w14:textId="3B0676D0" w:rsidR="00F53913" w:rsidRDefault="00F53913" w:rsidP="009A28F3">
      <w:pPr>
        <w:spacing w:line="360" w:lineRule="auto"/>
      </w:pPr>
    </w:p>
    <w:p w14:paraId="0208CE20" w14:textId="6B3E4207" w:rsidR="00F53913" w:rsidRDefault="00F53913" w:rsidP="009A28F3">
      <w:pPr>
        <w:spacing w:line="360" w:lineRule="auto"/>
      </w:pPr>
    </w:p>
    <w:p w14:paraId="4E77F24A" w14:textId="7F62E1C1" w:rsidR="00F53913" w:rsidRDefault="00F53913" w:rsidP="009A28F3">
      <w:pPr>
        <w:spacing w:line="360" w:lineRule="auto"/>
      </w:pPr>
    </w:p>
    <w:p w14:paraId="0F7B9E4E" w14:textId="34CFC460" w:rsidR="00F53913" w:rsidRDefault="00F53913" w:rsidP="009A28F3">
      <w:pPr>
        <w:spacing w:line="360" w:lineRule="auto"/>
      </w:pPr>
    </w:p>
    <w:p w14:paraId="21AD7596" w14:textId="4FD4C45B" w:rsidR="00F53913" w:rsidRDefault="00F53913" w:rsidP="009A28F3">
      <w:pPr>
        <w:spacing w:line="360" w:lineRule="auto"/>
      </w:pPr>
    </w:p>
    <w:p w14:paraId="307DA429" w14:textId="77777777" w:rsidR="00F53913" w:rsidRDefault="00F53913" w:rsidP="009A28F3">
      <w:pPr>
        <w:spacing w:line="360" w:lineRule="auto"/>
      </w:pPr>
    </w:p>
    <w:p w14:paraId="05D28B50" w14:textId="79372A84" w:rsidR="00A94C81" w:rsidRDefault="00A94C81" w:rsidP="000F702A">
      <w:pPr>
        <w:pStyle w:val="Heading1"/>
        <w:rPr>
          <w:rFonts w:ascii="Times New Roman" w:hAnsi="Times New Roman" w:cs="Times New Roman"/>
          <w:b/>
          <w:bCs/>
          <w:color w:val="000000" w:themeColor="text1"/>
          <w:sz w:val="24"/>
          <w:szCs w:val="24"/>
          <w:u w:val="single"/>
        </w:rPr>
      </w:pPr>
      <w:bookmarkStart w:id="11" w:name="_Toc102301204"/>
      <w:bookmarkStart w:id="12" w:name="_Toc103963046"/>
    </w:p>
    <w:p w14:paraId="546706F7" w14:textId="77777777" w:rsidR="00A94C81" w:rsidRPr="00A94C81" w:rsidRDefault="00A94C81" w:rsidP="00A94C81"/>
    <w:p w14:paraId="658E053D" w14:textId="00C0F70E" w:rsidR="00BE5B77" w:rsidRPr="000F702A" w:rsidRDefault="000A6E41" w:rsidP="000F702A">
      <w:pPr>
        <w:pStyle w:val="Heading1"/>
        <w:rPr>
          <w:rFonts w:ascii="Times New Roman" w:hAnsi="Times New Roman" w:cs="Times New Roman"/>
          <w:b/>
          <w:bCs/>
          <w:color w:val="000000" w:themeColor="text1"/>
          <w:sz w:val="24"/>
          <w:szCs w:val="24"/>
          <w:u w:val="single"/>
        </w:rPr>
      </w:pPr>
      <w:r w:rsidRPr="000F702A">
        <w:rPr>
          <w:rFonts w:ascii="Times New Roman" w:hAnsi="Times New Roman" w:cs="Times New Roman"/>
          <w:b/>
          <w:bCs/>
          <w:color w:val="000000" w:themeColor="text1"/>
          <w:sz w:val="24"/>
          <w:szCs w:val="24"/>
          <w:u w:val="single"/>
        </w:rPr>
        <w:lastRenderedPageBreak/>
        <w:t>3</w:t>
      </w:r>
      <w:r w:rsidR="006F4469" w:rsidRPr="000F702A">
        <w:rPr>
          <w:rFonts w:ascii="Times New Roman" w:hAnsi="Times New Roman" w:cs="Times New Roman"/>
          <w:b/>
          <w:bCs/>
          <w:color w:val="000000" w:themeColor="text1"/>
          <w:sz w:val="24"/>
          <w:szCs w:val="24"/>
          <w:u w:val="single"/>
        </w:rPr>
        <w:t>.</w:t>
      </w:r>
      <w:r w:rsidR="00C83FFE">
        <w:rPr>
          <w:rFonts w:ascii="Times New Roman" w:hAnsi="Times New Roman" w:cs="Times New Roman"/>
          <w:b/>
          <w:bCs/>
          <w:color w:val="000000" w:themeColor="text1"/>
          <w:sz w:val="24"/>
          <w:szCs w:val="24"/>
          <w:u w:val="single"/>
        </w:rPr>
        <w:t xml:space="preserve"> </w:t>
      </w:r>
      <w:r w:rsidR="00BE5B77" w:rsidRPr="000F702A">
        <w:rPr>
          <w:rFonts w:ascii="Times New Roman" w:hAnsi="Times New Roman" w:cs="Times New Roman"/>
          <w:b/>
          <w:bCs/>
          <w:color w:val="000000" w:themeColor="text1"/>
          <w:sz w:val="24"/>
          <w:szCs w:val="24"/>
          <w:u w:val="single"/>
        </w:rPr>
        <w:t>Methodology</w:t>
      </w:r>
      <w:bookmarkEnd w:id="11"/>
      <w:bookmarkEnd w:id="12"/>
    </w:p>
    <w:p w14:paraId="78A40E33" w14:textId="259F3A7B" w:rsidR="00BE5B77" w:rsidRDefault="00BE5B77" w:rsidP="00C608D9">
      <w:pPr>
        <w:spacing w:line="360" w:lineRule="auto"/>
        <w:rPr>
          <w:b/>
          <w:bCs/>
        </w:rPr>
      </w:pPr>
    </w:p>
    <w:p w14:paraId="2FC26726" w14:textId="18771D20" w:rsidR="006E7C5B" w:rsidRPr="000F702A" w:rsidRDefault="006E7C5B" w:rsidP="006E7C5B">
      <w:pPr>
        <w:pStyle w:val="Heading2"/>
        <w:rPr>
          <w:rFonts w:ascii="Times New Roman" w:hAnsi="Times New Roman" w:cs="Times New Roman"/>
          <w:b/>
          <w:bCs/>
          <w:color w:val="000000" w:themeColor="text1"/>
          <w:sz w:val="24"/>
          <w:szCs w:val="24"/>
        </w:rPr>
      </w:pPr>
      <w:bookmarkStart w:id="13" w:name="_Toc103963047"/>
      <w:r>
        <w:rPr>
          <w:rFonts w:ascii="Times New Roman" w:hAnsi="Times New Roman" w:cs="Times New Roman"/>
          <w:b/>
          <w:bCs/>
          <w:color w:val="000000" w:themeColor="text1"/>
          <w:sz w:val="24"/>
          <w:szCs w:val="24"/>
        </w:rPr>
        <w:t>3</w:t>
      </w:r>
      <w:r w:rsidRPr="000F702A">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1</w:t>
      </w:r>
      <w:r w:rsidRPr="000F702A">
        <w:rPr>
          <w:rFonts w:ascii="Times New Roman" w:hAnsi="Times New Roman" w:cs="Times New Roman"/>
          <w:b/>
          <w:bCs/>
          <w:color w:val="000000" w:themeColor="text1"/>
          <w:sz w:val="24"/>
          <w:szCs w:val="24"/>
        </w:rPr>
        <w:t xml:space="preserve"> </w:t>
      </w:r>
      <w:proofErr w:type="spellStart"/>
      <w:r w:rsidRPr="000F702A">
        <w:rPr>
          <w:rFonts w:ascii="Times New Roman" w:hAnsi="Times New Roman" w:cs="Times New Roman"/>
          <w:b/>
          <w:bCs/>
          <w:color w:val="000000" w:themeColor="text1"/>
          <w:sz w:val="24"/>
          <w:szCs w:val="24"/>
        </w:rPr>
        <w:t>Levenshtein</w:t>
      </w:r>
      <w:proofErr w:type="spellEnd"/>
      <w:r w:rsidRPr="000F702A">
        <w:rPr>
          <w:rFonts w:ascii="Times New Roman" w:hAnsi="Times New Roman" w:cs="Times New Roman"/>
          <w:b/>
          <w:bCs/>
          <w:color w:val="000000" w:themeColor="text1"/>
          <w:sz w:val="24"/>
          <w:szCs w:val="24"/>
        </w:rPr>
        <w:t xml:space="preserve"> Distance</w:t>
      </w:r>
      <w:bookmarkEnd w:id="13"/>
    </w:p>
    <w:p w14:paraId="4FFBE449" w14:textId="77777777" w:rsidR="006E7C5B" w:rsidRDefault="006E7C5B" w:rsidP="006E7C5B">
      <w:pPr>
        <w:spacing w:line="360" w:lineRule="auto"/>
        <w:rPr>
          <w:b/>
          <w:bCs/>
          <w:u w:val="single"/>
        </w:rPr>
      </w:pPr>
    </w:p>
    <w:p w14:paraId="0D71A94D" w14:textId="214E8B65" w:rsidR="006E7C5B" w:rsidRDefault="006E7C5B" w:rsidP="006E7C5B">
      <w:pPr>
        <w:spacing w:line="360" w:lineRule="auto"/>
      </w:pPr>
      <w:r>
        <w:tab/>
        <w:t xml:space="preserve">A very important part of this study involves natural language processing, in order to turn the households’ responses into accurate data. </w:t>
      </w:r>
      <w:proofErr w:type="spellStart"/>
      <w:r>
        <w:t>Levenshtein</w:t>
      </w:r>
      <w:proofErr w:type="spellEnd"/>
      <w:r>
        <w:t xml:space="preserve"> distance is the theory that stands behind the process explained in chapter </w:t>
      </w:r>
      <w:r w:rsidR="00A94C81">
        <w:t>3.4</w:t>
      </w:r>
      <w:r>
        <w:t xml:space="preserve">. </w:t>
      </w:r>
    </w:p>
    <w:p w14:paraId="5C78AE36" w14:textId="77777777" w:rsidR="006E7C5B" w:rsidRDefault="006E7C5B" w:rsidP="006E7C5B">
      <w:pPr>
        <w:spacing w:line="360" w:lineRule="auto"/>
      </w:pPr>
    </w:p>
    <w:p w14:paraId="1CC03326" w14:textId="24E29C37" w:rsidR="006E7C5B" w:rsidRDefault="006E7C5B" w:rsidP="006E7C5B">
      <w:pPr>
        <w:spacing w:line="360" w:lineRule="auto"/>
      </w:pPr>
      <w:proofErr w:type="spellStart"/>
      <w:r>
        <w:t>Levenshtein</w:t>
      </w:r>
      <w:proofErr w:type="spellEnd"/>
      <w:r>
        <w:t xml:space="preserve"> distance is a theory which measures the needed changes to turn a string into another, these changes can include deletions, insertions, and reversals. The process consists on assigning a “cost” to each one of the operations. Then, after adding all of the needed operations, we will get the </w:t>
      </w:r>
      <w:proofErr w:type="spellStart"/>
      <w:r>
        <w:t>Levenshtein</w:t>
      </w:r>
      <w:proofErr w:type="spellEnd"/>
      <w:r>
        <w:t xml:space="preserve"> distance between the two strings. Furthermore, it is possible to calculate the score between smaller tokenized entities from an original string. For this research, the input and target strings are tokenized into substrings (i.e.: one word = one unique token). Below it can be seen the formula for calculating the recursing </w:t>
      </w:r>
      <w:proofErr w:type="spellStart"/>
      <w:r>
        <w:t>Levenshtein</w:t>
      </w:r>
      <w:proofErr w:type="spellEnd"/>
      <w:r>
        <w:t xml:space="preserve"> </w:t>
      </w:r>
      <w:r w:rsidR="00A94C81">
        <w:t xml:space="preserve">distance </w:t>
      </w:r>
      <w:r>
        <w:t xml:space="preserve">score between token </w:t>
      </w:r>
      <w:proofErr w:type="spellStart"/>
      <w:r>
        <w:rPr>
          <w:b/>
          <w:bCs/>
          <w:i/>
          <w:iCs/>
        </w:rPr>
        <w:t>i</w:t>
      </w:r>
      <w:proofErr w:type="spellEnd"/>
      <w:r>
        <w:rPr>
          <w:b/>
          <w:bCs/>
          <w:i/>
          <w:iCs/>
        </w:rPr>
        <w:t xml:space="preserve"> </w:t>
      </w:r>
      <w:r>
        <w:t xml:space="preserve">from string </w:t>
      </w:r>
      <w:r>
        <w:rPr>
          <w:b/>
          <w:bCs/>
          <w:i/>
          <w:iCs/>
        </w:rPr>
        <w:t>str</w:t>
      </w:r>
      <w:r>
        <w:rPr>
          <w:b/>
          <w:bCs/>
          <w:i/>
          <w:iCs/>
          <w:vertAlign w:val="subscript"/>
        </w:rPr>
        <w:t xml:space="preserve">1 </w:t>
      </w:r>
      <w:r>
        <w:t xml:space="preserve">and token </w:t>
      </w:r>
      <w:r>
        <w:rPr>
          <w:b/>
          <w:bCs/>
          <w:i/>
          <w:iCs/>
        </w:rPr>
        <w:t xml:space="preserve">j </w:t>
      </w:r>
      <w:r>
        <w:t xml:space="preserve">from string </w:t>
      </w:r>
      <w:r>
        <w:rPr>
          <w:b/>
          <w:bCs/>
          <w:i/>
          <w:iCs/>
        </w:rPr>
        <w:t>str</w:t>
      </w:r>
      <w:r>
        <w:rPr>
          <w:b/>
          <w:bCs/>
          <w:i/>
          <w:iCs/>
          <w:vertAlign w:val="subscript"/>
        </w:rPr>
        <w:t>2</w:t>
      </w:r>
      <w:r w:rsidRPr="00AA3214">
        <w:t xml:space="preserve"> </w:t>
      </w:r>
      <w:r>
        <w:t>(</w:t>
      </w:r>
      <w:proofErr w:type="spellStart"/>
      <w:r>
        <w:t>Levenshtein</w:t>
      </w:r>
      <w:proofErr w:type="spellEnd"/>
      <w:r>
        <w:t>, 1966).</w:t>
      </w:r>
    </w:p>
    <w:p w14:paraId="1476F101" w14:textId="77777777" w:rsidR="006E7C5B" w:rsidRDefault="006E7C5B" w:rsidP="006E7C5B">
      <w:pPr>
        <w:spacing w:line="360" w:lineRule="auto"/>
      </w:pPr>
    </w:p>
    <w:p w14:paraId="32086FAF" w14:textId="77777777" w:rsidR="006E7C5B" w:rsidRDefault="006E7C5B" w:rsidP="006E7C5B">
      <w:pPr>
        <w:spacing w:line="360" w:lineRule="auto"/>
      </w:pPr>
    </w:p>
    <w:p w14:paraId="08B14885" w14:textId="77777777" w:rsidR="006E7C5B" w:rsidRPr="00943DC6" w:rsidRDefault="00D808CD" w:rsidP="006E7C5B">
      <w:pPr>
        <w:spacing w:line="360" w:lineRule="auto"/>
      </w:pPr>
      <m:oMathPara>
        <m:oMath>
          <m:sSub>
            <m:sSubPr>
              <m:ctrlPr>
                <w:rPr>
                  <w:rFonts w:ascii="Cambria Math" w:hAnsi="Cambria Math"/>
                  <w:i/>
                </w:rPr>
              </m:ctrlPr>
            </m:sSubPr>
            <m:e>
              <m:r>
                <w:rPr>
                  <w:rFonts w:ascii="Cambria Math" w:hAnsi="Cambria Math"/>
                </w:rPr>
                <m:t>Levenshtein</m:t>
              </m:r>
            </m:e>
            <m:sub>
              <m:sSub>
                <m:sSubPr>
                  <m:ctrlPr>
                    <w:rPr>
                      <w:rFonts w:ascii="Cambria Math" w:hAnsi="Cambria Math"/>
                      <w:i/>
                    </w:rPr>
                  </m:ctrlPr>
                </m:sSubPr>
                <m:e>
                  <m:r>
                    <w:rPr>
                      <w:rFonts w:ascii="Cambria Math" w:hAnsi="Cambria Math"/>
                    </w:rPr>
                    <m:t>str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str</m:t>
                  </m:r>
                </m:e>
                <m:sub>
                  <m:r>
                    <w:rPr>
                      <w:rFonts w:ascii="Cambria Math" w:hAnsi="Cambria Math"/>
                    </w:rPr>
                    <m:t>2</m:t>
                  </m:r>
                </m:sub>
              </m:sSub>
            </m:sub>
          </m:sSub>
          <m:r>
            <w:rPr>
              <w:rFonts w:ascii="Cambria Math" w:hAnsi="Cambria Math"/>
            </w:rPr>
            <m:t xml:space="preserve">(i,j)=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i,j</m:t>
                            </m:r>
                          </m:e>
                        </m:d>
                      </m:e>
                    </m:func>
                    <m:r>
                      <w:rPr>
                        <w:rFonts w:ascii="Cambria Math" w:hAnsi="Cambria Math"/>
                      </w:rPr>
                      <m:t xml:space="preserve">                                                                                       if</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r>
                      <w:rPr>
                        <w:rFonts w:ascii="Cambria Math" w:hAnsi="Cambria Math"/>
                      </w:rPr>
                      <m:t xml:space="preserve">=0                </m:t>
                    </m:r>
                  </m:e>
                </m:mr>
                <m:mr>
                  <m:e>
                    <m:r>
                      <w:rPr>
                        <w:rFonts w:ascii="Cambria Math" w:hAnsi="Cambria Math"/>
                      </w:rPr>
                      <m:t>min</m:t>
                    </m:r>
                    <m:d>
                      <m:dPr>
                        <m:begChr m:val="{"/>
                        <m:endChr m:val=""/>
                        <m:shp m:val="match"/>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Levenshtein</m:t>
                                  </m:r>
                                </m:e>
                                <m:sub>
                                  <m:sSub>
                                    <m:sSubPr>
                                      <m:ctrlPr>
                                        <w:rPr>
                                          <w:rFonts w:ascii="Cambria Math" w:hAnsi="Cambria Math"/>
                                          <w:i/>
                                        </w:rPr>
                                      </m:ctrlPr>
                                    </m:sSubPr>
                                    <m:e>
                                      <m:r>
                                        <w:rPr>
                                          <w:rFonts w:ascii="Cambria Math" w:hAnsi="Cambria Math"/>
                                        </w:rPr>
                                        <m:t>str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str</m:t>
                                      </m:r>
                                    </m:e>
                                    <m:sub>
                                      <m:r>
                                        <w:rPr>
                                          <w:rFonts w:ascii="Cambria Math" w:hAnsi="Cambria Math"/>
                                        </w:rPr>
                                        <m:t>2</m:t>
                                      </m:r>
                                    </m:sub>
                                  </m:sSub>
                                </m:sub>
                              </m:sSub>
                              <m:d>
                                <m:dPr>
                                  <m:ctrlPr>
                                    <w:rPr>
                                      <w:rFonts w:ascii="Cambria Math" w:hAnsi="Cambria Math"/>
                                      <w:i/>
                                    </w:rPr>
                                  </m:ctrlPr>
                                </m:dPr>
                                <m:e>
                                  <m:r>
                                    <w:rPr>
                                      <w:rFonts w:ascii="Cambria Math" w:hAnsi="Cambria Math"/>
                                    </w:rPr>
                                    <m:t>i-1,j</m:t>
                                  </m:r>
                                </m:e>
                              </m:d>
                              <m:r>
                                <w:rPr>
                                  <w:rFonts w:ascii="Cambria Math" w:hAnsi="Cambria Math"/>
                                </w:rPr>
                                <m:t>+1</m:t>
                              </m:r>
                            </m:e>
                          </m:mr>
                          <m:mr>
                            <m:e>
                              <m:sSub>
                                <m:sSubPr>
                                  <m:ctrlPr>
                                    <w:rPr>
                                      <w:rFonts w:ascii="Cambria Math" w:hAnsi="Cambria Math"/>
                                      <w:i/>
                                    </w:rPr>
                                  </m:ctrlPr>
                                </m:sSubPr>
                                <m:e>
                                  <m:r>
                                    <w:rPr>
                                      <w:rFonts w:ascii="Cambria Math" w:hAnsi="Cambria Math"/>
                                    </w:rPr>
                                    <m:t>Levenshtein</m:t>
                                  </m:r>
                                </m:e>
                                <m:sub>
                                  <m:sSub>
                                    <m:sSubPr>
                                      <m:ctrlPr>
                                        <w:rPr>
                                          <w:rFonts w:ascii="Cambria Math" w:hAnsi="Cambria Math"/>
                                          <w:i/>
                                        </w:rPr>
                                      </m:ctrlPr>
                                    </m:sSubPr>
                                    <m:e>
                                      <m:r>
                                        <w:rPr>
                                          <w:rFonts w:ascii="Cambria Math" w:hAnsi="Cambria Math"/>
                                        </w:rPr>
                                        <m:t>str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str</m:t>
                                      </m:r>
                                    </m:e>
                                    <m:sub>
                                      <m:r>
                                        <w:rPr>
                                          <w:rFonts w:ascii="Cambria Math" w:hAnsi="Cambria Math"/>
                                        </w:rPr>
                                        <m:t>2</m:t>
                                      </m:r>
                                    </m:sub>
                                  </m:sSub>
                                </m:sub>
                              </m:sSub>
                              <m:r>
                                <w:rPr>
                                  <w:rFonts w:ascii="Cambria Math" w:hAnsi="Cambria Math"/>
                                </w:rPr>
                                <m:t xml:space="preserve"> </m:t>
                              </m:r>
                              <m:d>
                                <m:dPr>
                                  <m:ctrlPr>
                                    <w:rPr>
                                      <w:rFonts w:ascii="Cambria Math" w:hAnsi="Cambria Math"/>
                                      <w:i/>
                                    </w:rPr>
                                  </m:ctrlPr>
                                </m:dPr>
                                <m:e>
                                  <m:r>
                                    <w:rPr>
                                      <w:rFonts w:ascii="Cambria Math" w:hAnsi="Cambria Math"/>
                                    </w:rPr>
                                    <m:t>i,j-1</m:t>
                                  </m:r>
                                </m:e>
                              </m:d>
                              <m:r>
                                <w:rPr>
                                  <w:rFonts w:ascii="Cambria Math" w:hAnsi="Cambria Math"/>
                                </w:rPr>
                                <m:t>+1</m:t>
                              </m:r>
                            </m:e>
                          </m:mr>
                          <m:mr>
                            <m:e>
                              <m:sSub>
                                <m:sSubPr>
                                  <m:ctrlPr>
                                    <w:rPr>
                                      <w:rFonts w:ascii="Cambria Math" w:hAnsi="Cambria Math"/>
                                      <w:i/>
                                    </w:rPr>
                                  </m:ctrlPr>
                                </m:sSubPr>
                                <m:e>
                                  <m:r>
                                    <w:rPr>
                                      <w:rFonts w:ascii="Cambria Math" w:hAnsi="Cambria Math"/>
                                    </w:rPr>
                                    <m:t>Levenshtein</m:t>
                                  </m:r>
                                </m:e>
                                <m:sub>
                                  <m:sSub>
                                    <m:sSubPr>
                                      <m:ctrlPr>
                                        <w:rPr>
                                          <w:rFonts w:ascii="Cambria Math" w:hAnsi="Cambria Math"/>
                                          <w:i/>
                                        </w:rPr>
                                      </m:ctrlPr>
                                    </m:sSubPr>
                                    <m:e>
                                      <m:r>
                                        <w:rPr>
                                          <w:rFonts w:ascii="Cambria Math" w:hAnsi="Cambria Math"/>
                                        </w:rPr>
                                        <m:t>str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str</m:t>
                                      </m:r>
                                    </m:e>
                                    <m:sub>
                                      <m:r>
                                        <w:rPr>
                                          <w:rFonts w:ascii="Cambria Math" w:hAnsi="Cambria Math"/>
                                        </w:rPr>
                                        <m:t>2</m:t>
                                      </m:r>
                                    </m:sub>
                                  </m:sSub>
                                </m:sub>
                              </m:sSub>
                              <m:d>
                                <m:dPr>
                                  <m:ctrlPr>
                                    <w:rPr>
                                      <w:rFonts w:ascii="Cambria Math" w:hAnsi="Cambria Math"/>
                                      <w:i/>
                                    </w:rPr>
                                  </m:ctrlPr>
                                </m:dPr>
                                <m:e>
                                  <m:r>
                                    <w:rPr>
                                      <w:rFonts w:ascii="Cambria Math" w:hAnsi="Cambria Math"/>
                                    </w:rPr>
                                    <m:t>i-1.j-1</m:t>
                                  </m:r>
                                </m:e>
                              </m:d>
                              <m:r>
                                <w:rPr>
                                  <w:rFonts w:ascii="Cambria Math" w:hAnsi="Cambria Math"/>
                                </w:rPr>
                                <m:t>+1</m:t>
                              </m:r>
                            </m:e>
                          </m:mr>
                        </m:m>
                        <m:r>
                          <w:rPr>
                            <w:rFonts w:ascii="Cambria Math" w:hAnsi="Cambria Math"/>
                          </w:rPr>
                          <m:t xml:space="preserve">                        otherwise                        </m:t>
                        </m:r>
                      </m:e>
                    </m:d>
                  </m:e>
                </m:mr>
              </m:m>
            </m:e>
          </m:d>
        </m:oMath>
      </m:oMathPara>
    </w:p>
    <w:p w14:paraId="1437D5C9" w14:textId="77777777" w:rsidR="006E7C5B" w:rsidRPr="00943DC6" w:rsidRDefault="006E7C5B" w:rsidP="006E7C5B">
      <w:pPr>
        <w:spacing w:line="360" w:lineRule="auto"/>
      </w:pPr>
    </w:p>
    <w:p w14:paraId="3D112DBA" w14:textId="77777777" w:rsidR="006E7C5B" w:rsidRDefault="006E7C5B" w:rsidP="006E7C5B">
      <w:pPr>
        <w:spacing w:line="360" w:lineRule="auto"/>
      </w:pPr>
    </w:p>
    <w:p w14:paraId="57140AC4" w14:textId="77777777" w:rsidR="006E7C5B" w:rsidRDefault="006E7C5B" w:rsidP="006E7C5B">
      <w:pPr>
        <w:spacing w:line="360" w:lineRule="auto"/>
      </w:pPr>
    </w:p>
    <w:p w14:paraId="36EDE502" w14:textId="7E5F4CE0" w:rsidR="006E7C5B" w:rsidRDefault="006E7C5B" w:rsidP="006E7C5B">
      <w:pPr>
        <w:spacing w:line="360" w:lineRule="auto"/>
      </w:pPr>
      <w:r>
        <w:t xml:space="preserve">Furthermore, in order to visualize the quality of the match, it is needed to calculate the </w:t>
      </w:r>
      <w:proofErr w:type="spellStart"/>
      <w:r>
        <w:t>Levenshtein</w:t>
      </w:r>
      <w:proofErr w:type="spellEnd"/>
      <w:r>
        <w:t xml:space="preserve"> distance ratio, which adds the lengths of the </w:t>
      </w:r>
      <w:r w:rsidR="00A94C81">
        <w:t>input</w:t>
      </w:r>
      <w:r>
        <w:t xml:space="preserve"> token and best matching token </w:t>
      </w:r>
      <m:oMath>
        <m:sSub>
          <m:sSubPr>
            <m:ctrlPr>
              <w:rPr>
                <w:rFonts w:ascii="Cambria Math" w:hAnsi="Cambria Math"/>
                <w:b/>
                <w:bCs/>
                <w:i/>
              </w:rPr>
            </m:ctrlPr>
          </m:sSubPr>
          <m:e>
            <m:r>
              <m:rPr>
                <m:sty m:val="bi"/>
              </m:rPr>
              <w:rPr>
                <w:rFonts w:ascii="Cambria Math" w:hAnsi="Cambria Math"/>
              </w:rPr>
              <m:t>len(str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len(str</m:t>
            </m:r>
          </m:e>
          <m:sub>
            <m:r>
              <m:rPr>
                <m:sty m:val="bi"/>
              </m:rPr>
              <w:rPr>
                <w:rFonts w:ascii="Cambria Math" w:hAnsi="Cambria Math"/>
              </w:rPr>
              <m:t>2</m:t>
            </m:r>
          </m:sub>
        </m:sSub>
        <m:r>
          <m:rPr>
            <m:sty m:val="bi"/>
          </m:rPr>
          <w:rPr>
            <w:rFonts w:ascii="Cambria Math" w:hAnsi="Cambria Math"/>
          </w:rPr>
          <m:t>)</m:t>
        </m:r>
      </m:oMath>
      <w:r>
        <w:rPr>
          <w:b/>
          <w:bCs/>
        </w:rPr>
        <w:t xml:space="preserve"> </w:t>
      </w:r>
      <w:r>
        <w:t xml:space="preserve"> and then </w:t>
      </w:r>
      <w:r w:rsidR="00A94C81">
        <w:t>subtracts</w:t>
      </w:r>
      <w:r>
        <w:t xml:space="preserve"> their </w:t>
      </w:r>
      <w:proofErr w:type="spellStart"/>
      <w:r>
        <w:t>Levenshtein</w:t>
      </w:r>
      <w:proofErr w:type="spellEnd"/>
      <w:r>
        <w:t xml:space="preserve"> distance, and divides over the total length of both strings’ tokens. </w:t>
      </w:r>
    </w:p>
    <w:p w14:paraId="5F775577" w14:textId="77777777" w:rsidR="006E7C5B" w:rsidRPr="005D5730" w:rsidRDefault="006E7C5B" w:rsidP="006E7C5B">
      <w:pPr>
        <w:spacing w:line="360" w:lineRule="auto"/>
      </w:pPr>
    </w:p>
    <w:p w14:paraId="0016AAF9" w14:textId="77777777" w:rsidR="006E7C5B" w:rsidRPr="00221549" w:rsidRDefault="006E7C5B" w:rsidP="006E7C5B">
      <w:pPr>
        <w:spacing w:line="360" w:lineRule="auto"/>
      </w:pPr>
    </w:p>
    <w:p w14:paraId="00A9C5C9" w14:textId="77777777" w:rsidR="006E7C5B" w:rsidRDefault="00D808CD" w:rsidP="006E7C5B">
      <w:pPr>
        <w:spacing w:line="360" w:lineRule="auto"/>
        <w:rPr>
          <w:b/>
          <w:bCs/>
          <w:u w:val="single"/>
        </w:rPr>
      </w:pPr>
      <m:oMathPara>
        <m:oMath>
          <m:sSub>
            <m:sSubPr>
              <m:ctrlPr>
                <w:rPr>
                  <w:rFonts w:ascii="Cambria Math" w:hAnsi="Cambria Math"/>
                  <w:i/>
                </w:rPr>
              </m:ctrlPr>
            </m:sSubPr>
            <m:e>
              <m:r>
                <w:rPr>
                  <w:rFonts w:ascii="Cambria Math" w:hAnsi="Cambria Math"/>
                </w:rPr>
                <m:t>Levenshtein Ratio</m:t>
              </m:r>
            </m:e>
            <m:sub>
              <m:sSub>
                <m:sSubPr>
                  <m:ctrlPr>
                    <w:rPr>
                      <w:rFonts w:ascii="Cambria Math" w:hAnsi="Cambria Math"/>
                      <w:i/>
                    </w:rPr>
                  </m:ctrlPr>
                </m:sSubPr>
                <m:e>
                  <m:r>
                    <w:rPr>
                      <w:rFonts w:ascii="Cambria Math" w:hAnsi="Cambria Math"/>
                    </w:rPr>
                    <m:t>str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str</m:t>
                  </m:r>
                </m:e>
                <m:sub>
                  <m:r>
                    <w:rPr>
                      <w:rFonts w:ascii="Cambria Math" w:hAnsi="Cambria Math"/>
                    </w:rPr>
                    <m:t>2</m:t>
                  </m:r>
                </m:sub>
              </m:sSub>
            </m:sub>
          </m:sSub>
          <m:r>
            <w:rPr>
              <w:rFonts w:ascii="Cambria Math" w:hAnsi="Cambria Math"/>
            </w:rPr>
            <m:t>(i,j)=</m:t>
          </m:r>
          <m:f>
            <m:fPr>
              <m:ctrlPr>
                <w:rPr>
                  <w:rFonts w:ascii="Cambria Math" w:hAnsi="Cambria Math"/>
                  <w:i/>
                </w:rPr>
              </m:ctrlPr>
            </m:fPr>
            <m:num>
              <m:r>
                <w:rPr>
                  <w:rFonts w:ascii="Cambria Math" w:hAnsi="Cambria Math"/>
                </w:rPr>
                <m:t>[len(i)+len(j)-</m:t>
              </m:r>
              <m:sSub>
                <m:sSubPr>
                  <m:ctrlPr>
                    <w:rPr>
                      <w:rFonts w:ascii="Cambria Math" w:hAnsi="Cambria Math"/>
                      <w:i/>
                    </w:rPr>
                  </m:ctrlPr>
                </m:sSubPr>
                <m:e>
                  <m:r>
                    <w:rPr>
                      <w:rFonts w:ascii="Cambria Math" w:hAnsi="Cambria Math"/>
                    </w:rPr>
                    <m:t>Levenshtein</m:t>
                  </m:r>
                </m:e>
                <m:sub>
                  <m:sSub>
                    <m:sSubPr>
                      <m:ctrlPr>
                        <w:rPr>
                          <w:rFonts w:ascii="Cambria Math" w:hAnsi="Cambria Math"/>
                          <w:i/>
                        </w:rPr>
                      </m:ctrlPr>
                    </m:sSubPr>
                    <m:e>
                      <m:r>
                        <w:rPr>
                          <w:rFonts w:ascii="Cambria Math" w:hAnsi="Cambria Math"/>
                        </w:rPr>
                        <m:t>str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str</m:t>
                      </m:r>
                    </m:e>
                    <m:sub>
                      <m:r>
                        <w:rPr>
                          <w:rFonts w:ascii="Cambria Math" w:hAnsi="Cambria Math"/>
                        </w:rPr>
                        <m:t>2</m:t>
                      </m:r>
                    </m:sub>
                  </m:sSub>
                </m:sub>
              </m:sSub>
              <m:r>
                <w:rPr>
                  <w:rFonts w:ascii="Cambria Math" w:hAnsi="Cambria Math"/>
                </w:rPr>
                <m:t>(i,j)]</m:t>
              </m:r>
            </m:num>
            <m:den>
              <m:r>
                <w:rPr>
                  <w:rFonts w:ascii="Cambria Math" w:hAnsi="Cambria Math"/>
                </w:rPr>
                <m:t>(len(i)+len(j))</m:t>
              </m:r>
            </m:den>
          </m:f>
        </m:oMath>
      </m:oMathPara>
    </w:p>
    <w:p w14:paraId="0C1573C2" w14:textId="77777777" w:rsidR="006E7C5B" w:rsidRDefault="006E7C5B" w:rsidP="006E7C5B">
      <w:pPr>
        <w:spacing w:line="360" w:lineRule="auto"/>
        <w:rPr>
          <w:i/>
          <w:iCs/>
          <w:u w:val="single"/>
        </w:rPr>
      </w:pPr>
    </w:p>
    <w:p w14:paraId="2E06A267" w14:textId="77777777" w:rsidR="006E7C5B" w:rsidRDefault="006E7C5B" w:rsidP="006E7C5B">
      <w:pPr>
        <w:spacing w:line="360" w:lineRule="auto"/>
      </w:pPr>
    </w:p>
    <w:p w14:paraId="4F910B8B" w14:textId="77777777" w:rsidR="006E7C5B" w:rsidRDefault="006E7C5B" w:rsidP="006E7C5B">
      <w:pPr>
        <w:spacing w:line="360" w:lineRule="auto"/>
      </w:pPr>
      <w:r>
        <w:t xml:space="preserve">Although this theory dates from the Soviet era, it is still widely used in many academic fields. The use of </w:t>
      </w:r>
      <w:proofErr w:type="spellStart"/>
      <w:r>
        <w:t>Levenshtein</w:t>
      </w:r>
      <w:proofErr w:type="spellEnd"/>
      <w:r>
        <w:t xml:space="preserve"> distance is widely spread, for example in the development of academic plagiarism detection algorithms (</w:t>
      </w:r>
      <w:proofErr w:type="spellStart"/>
      <w:r>
        <w:t>Su</w:t>
      </w:r>
      <w:proofErr w:type="spellEnd"/>
      <w:r>
        <w:t xml:space="preserve">, </w:t>
      </w:r>
      <w:proofErr w:type="spellStart"/>
      <w:r>
        <w:t>Ahn</w:t>
      </w:r>
      <w:proofErr w:type="spellEnd"/>
      <w:r>
        <w:t xml:space="preserve">, </w:t>
      </w:r>
      <w:proofErr w:type="spellStart"/>
      <w:r>
        <w:t>Eom</w:t>
      </w:r>
      <w:proofErr w:type="spellEnd"/>
      <w:r>
        <w:t>, Kang, Kim, &amp; Kim, 2008), or in more familiar fields such as contextual spelling correction (</w:t>
      </w:r>
      <w:proofErr w:type="spellStart"/>
      <w:r>
        <w:t>Lhoussain</w:t>
      </w:r>
      <w:proofErr w:type="spellEnd"/>
      <w:r>
        <w:t xml:space="preserve">, Hicham, &amp; </w:t>
      </w:r>
      <w:proofErr w:type="spellStart"/>
      <w:r>
        <w:t>Abdellah</w:t>
      </w:r>
      <w:proofErr w:type="spellEnd"/>
      <w:r>
        <w:t>, 2015).</w:t>
      </w:r>
    </w:p>
    <w:p w14:paraId="0A74A595" w14:textId="77777777" w:rsidR="006E7C5B" w:rsidRDefault="006E7C5B" w:rsidP="006E7C5B">
      <w:pPr>
        <w:spacing w:line="360" w:lineRule="auto"/>
      </w:pPr>
    </w:p>
    <w:p w14:paraId="38010B43" w14:textId="124312A3" w:rsidR="006E7C5B" w:rsidRPr="003200BA" w:rsidRDefault="006E7C5B" w:rsidP="006E7C5B">
      <w:pPr>
        <w:spacing w:line="360" w:lineRule="auto"/>
      </w:pPr>
      <w:r>
        <w:t xml:space="preserve">The original </w:t>
      </w:r>
      <w:proofErr w:type="spellStart"/>
      <w:r>
        <w:t>Levenshtein</w:t>
      </w:r>
      <w:proofErr w:type="spellEnd"/>
      <w:r>
        <w:t xml:space="preserve"> score, as well as the derived versions, such as the </w:t>
      </w:r>
      <w:proofErr w:type="spellStart"/>
      <w:r>
        <w:t>Leveshtein</w:t>
      </w:r>
      <w:proofErr w:type="spellEnd"/>
      <w:r>
        <w:t xml:space="preserve"> ratio, are remarkably useful since the results can also be interpreted as probabilistic data on which to take decisions for research. Depending on the task and field, one has to choose a threshold which assumes that the matches above are accurate, and the ones below are incorrect. Therefore, </w:t>
      </w:r>
      <w:r w:rsidR="00532822">
        <w:t>given this</w:t>
      </w:r>
      <w:r>
        <w:t xml:space="preserve"> decision a study conveyed using the same methods might have different results. The decision on where to “make the cut” should then be argumentized taking into account the tradeoff between accuracy and the amount of data.</w:t>
      </w:r>
    </w:p>
    <w:p w14:paraId="6893458A" w14:textId="74DFBC8F" w:rsidR="006E7C5B" w:rsidRDefault="006E7C5B" w:rsidP="00C608D9">
      <w:pPr>
        <w:spacing w:line="360" w:lineRule="auto"/>
        <w:rPr>
          <w:b/>
          <w:bCs/>
        </w:rPr>
      </w:pPr>
    </w:p>
    <w:p w14:paraId="4651BCB3" w14:textId="77777777" w:rsidR="006E7C5B" w:rsidRDefault="006E7C5B" w:rsidP="00C608D9">
      <w:pPr>
        <w:spacing w:line="360" w:lineRule="auto"/>
        <w:rPr>
          <w:b/>
          <w:bCs/>
        </w:rPr>
      </w:pPr>
    </w:p>
    <w:p w14:paraId="78F973AE" w14:textId="519F25D7" w:rsidR="006F4469" w:rsidRPr="000F702A" w:rsidRDefault="000A6E41" w:rsidP="000F702A">
      <w:pPr>
        <w:pStyle w:val="Heading2"/>
        <w:rPr>
          <w:rFonts w:ascii="Times New Roman" w:hAnsi="Times New Roman" w:cs="Times New Roman"/>
          <w:b/>
          <w:bCs/>
          <w:color w:val="000000" w:themeColor="text1"/>
          <w:sz w:val="24"/>
          <w:szCs w:val="24"/>
        </w:rPr>
      </w:pPr>
      <w:bookmarkStart w:id="14" w:name="_Toc102301205"/>
      <w:bookmarkStart w:id="15" w:name="_Toc103963048"/>
      <w:r w:rsidRPr="000F702A">
        <w:rPr>
          <w:rFonts w:ascii="Times New Roman" w:hAnsi="Times New Roman" w:cs="Times New Roman"/>
          <w:b/>
          <w:bCs/>
          <w:color w:val="000000" w:themeColor="text1"/>
          <w:sz w:val="24"/>
          <w:szCs w:val="24"/>
        </w:rPr>
        <w:t>3</w:t>
      </w:r>
      <w:r w:rsidR="006F4469" w:rsidRPr="000F702A">
        <w:rPr>
          <w:rFonts w:ascii="Times New Roman" w:hAnsi="Times New Roman" w:cs="Times New Roman"/>
          <w:b/>
          <w:bCs/>
          <w:color w:val="000000" w:themeColor="text1"/>
          <w:sz w:val="24"/>
          <w:szCs w:val="24"/>
        </w:rPr>
        <w:t>.</w:t>
      </w:r>
      <w:r w:rsidR="006E7C5B">
        <w:rPr>
          <w:rFonts w:ascii="Times New Roman" w:hAnsi="Times New Roman" w:cs="Times New Roman"/>
          <w:b/>
          <w:bCs/>
          <w:color w:val="000000" w:themeColor="text1"/>
          <w:sz w:val="24"/>
          <w:szCs w:val="24"/>
        </w:rPr>
        <w:t>2</w:t>
      </w:r>
      <w:r w:rsidR="006F4469" w:rsidRPr="000F702A">
        <w:rPr>
          <w:rFonts w:ascii="Times New Roman" w:hAnsi="Times New Roman" w:cs="Times New Roman"/>
          <w:b/>
          <w:bCs/>
          <w:color w:val="000000" w:themeColor="text1"/>
          <w:sz w:val="24"/>
          <w:szCs w:val="24"/>
        </w:rPr>
        <w:t xml:space="preserve"> Data</w:t>
      </w:r>
      <w:r w:rsidR="0096487C" w:rsidRPr="000F702A">
        <w:rPr>
          <w:rFonts w:ascii="Times New Roman" w:hAnsi="Times New Roman" w:cs="Times New Roman"/>
          <w:b/>
          <w:bCs/>
          <w:color w:val="000000" w:themeColor="text1"/>
          <w:sz w:val="24"/>
          <w:szCs w:val="24"/>
        </w:rPr>
        <w:t xml:space="preserve"> description</w:t>
      </w:r>
      <w:bookmarkEnd w:id="14"/>
      <w:bookmarkEnd w:id="15"/>
    </w:p>
    <w:p w14:paraId="31D3FCE4" w14:textId="77777777" w:rsidR="0096487C" w:rsidRPr="006F4469" w:rsidRDefault="0096487C" w:rsidP="00C608D9">
      <w:pPr>
        <w:spacing w:line="360" w:lineRule="auto"/>
        <w:rPr>
          <w:b/>
          <w:bCs/>
          <w:u w:val="single"/>
        </w:rPr>
      </w:pPr>
    </w:p>
    <w:p w14:paraId="6ECEDBDF" w14:textId="359AA19A" w:rsidR="004421B4" w:rsidRDefault="004421B4" w:rsidP="006F4469">
      <w:pPr>
        <w:spacing w:line="360" w:lineRule="auto"/>
        <w:ind w:firstLine="720"/>
      </w:pPr>
      <w:r>
        <w:t xml:space="preserve">Part of the data used in this research was collected by </w:t>
      </w:r>
      <w:proofErr w:type="spellStart"/>
      <w:r>
        <w:t>Centerdata</w:t>
      </w:r>
      <w:proofErr w:type="spellEnd"/>
      <w:r>
        <w:t xml:space="preserve"> Research Institute. Every year, since 1993, the aforementioned organization surveys over a thousand households, using a questionnaire comprising factors ranging from general household information, through extensive financial data, to health and psychological information among others. The questionnaire, published under the name of DNB Household Survey, has as its main purpose the analysis and understanding of saving behavior present in Dutch households. However, given its broad coverage, the survey has been foreseeably used with many other purposes. </w:t>
      </w:r>
    </w:p>
    <w:p w14:paraId="451B5B9B" w14:textId="6B83ED9E" w:rsidR="00EA01B5" w:rsidRPr="001D590E" w:rsidRDefault="00EA01B5" w:rsidP="00EA01B5">
      <w:pPr>
        <w:spacing w:line="360" w:lineRule="auto"/>
      </w:pPr>
      <w:r>
        <w:t xml:space="preserve">Given the focus of this research on profiling the </w:t>
      </w:r>
      <w:proofErr w:type="spellStart"/>
      <w:r>
        <w:t>Fama</w:t>
      </w:r>
      <w:proofErr w:type="spellEnd"/>
      <w:r w:rsidR="004057F1">
        <w:t>-</w:t>
      </w:r>
      <w:r>
        <w:t xml:space="preserve">French Investors in the Netherlands, based on demographic and socioeconomical factors, the following variables were chosen for each year of the survey: </w:t>
      </w:r>
      <w:r w:rsidR="001847A2">
        <w:t xml:space="preserve">Household </w:t>
      </w:r>
      <w:proofErr w:type="gramStart"/>
      <w:r w:rsidR="001847A2">
        <w:t>index ,</w:t>
      </w:r>
      <w:proofErr w:type="gramEnd"/>
      <w:r w:rsidR="001847A2">
        <w:t xml:space="preserve"> index of the member of the household </w:t>
      </w:r>
      <w:r w:rsidR="001D590E">
        <w:t xml:space="preserve">, year of birth , </w:t>
      </w:r>
      <w:r w:rsidR="004056C2">
        <w:t xml:space="preserve">gender, </w:t>
      </w:r>
      <w:r w:rsidR="001D590E">
        <w:t xml:space="preserve">highest level of education completed , type of accommodation , </w:t>
      </w:r>
      <w:r w:rsidR="0016423E">
        <w:t>whether the respondent lives with a partner , total net income</w:t>
      </w:r>
      <w:r w:rsidR="0015395C">
        <w:t xml:space="preserve">, </w:t>
      </w:r>
      <w:r w:rsidR="004056C2">
        <w:t>wealth</w:t>
      </w:r>
      <w:r w:rsidR="0015395C">
        <w:t xml:space="preserve">, </w:t>
      </w:r>
      <w:r w:rsidR="00215422">
        <w:t>and portfolio of stocks (</w:t>
      </w:r>
      <w:r w:rsidR="003F652B">
        <w:rPr>
          <w:i/>
          <w:iCs/>
        </w:rPr>
        <w:t>stock</w:t>
      </w:r>
      <w:r w:rsidR="00215422">
        <w:rPr>
          <w:i/>
          <w:iCs/>
        </w:rPr>
        <w:t xml:space="preserve">1 </w:t>
      </w:r>
      <w:r w:rsidR="00215422" w:rsidRPr="003F652B">
        <w:t xml:space="preserve">through </w:t>
      </w:r>
      <w:r w:rsidR="003F652B">
        <w:rPr>
          <w:i/>
          <w:iCs/>
        </w:rPr>
        <w:t>stock</w:t>
      </w:r>
      <w:r w:rsidR="00215422">
        <w:rPr>
          <w:i/>
          <w:iCs/>
        </w:rPr>
        <w:t>10</w:t>
      </w:r>
      <w:r w:rsidR="00215422">
        <w:t>).</w:t>
      </w:r>
      <w:r w:rsidR="001D590E">
        <w:t xml:space="preserve">  </w:t>
      </w:r>
    </w:p>
    <w:p w14:paraId="10D5F965" w14:textId="77777777" w:rsidR="004421B4" w:rsidRDefault="004421B4" w:rsidP="004421B4">
      <w:pPr>
        <w:spacing w:line="360" w:lineRule="auto"/>
      </w:pPr>
    </w:p>
    <w:p w14:paraId="7BCD4312" w14:textId="4EDDDB2E" w:rsidR="004421B4" w:rsidRDefault="004421B4" w:rsidP="004421B4">
      <w:pPr>
        <w:spacing w:line="360" w:lineRule="auto"/>
      </w:pPr>
      <w:r>
        <w:lastRenderedPageBreak/>
        <w:t xml:space="preserve">Furthermore, data based on securities information, including </w:t>
      </w:r>
      <w:r w:rsidR="00CF1860">
        <w:t xml:space="preserve">identifying, </w:t>
      </w:r>
      <w:r>
        <w:t>pricing</w:t>
      </w:r>
      <w:r w:rsidR="00CF1860">
        <w:t>,</w:t>
      </w:r>
      <w:r>
        <w:t xml:space="preserve"> and fundamental characteristics, was retrieved from S&amp;P Global Market Intelligence’s database, </w:t>
      </w:r>
      <w:proofErr w:type="spellStart"/>
      <w:r>
        <w:t>Compustat</w:t>
      </w:r>
      <w:proofErr w:type="spellEnd"/>
      <w:r>
        <w:t xml:space="preserve">, through </w:t>
      </w:r>
      <w:r w:rsidR="006F4469">
        <w:t>Wharton Research Data Services (WRDS)</w:t>
      </w:r>
      <w:r w:rsidR="00BD2868">
        <w:t xml:space="preserve">, and from </w:t>
      </w:r>
      <w:proofErr w:type="spellStart"/>
      <w:r w:rsidR="00BD2868">
        <w:t>Datastream</w:t>
      </w:r>
      <w:proofErr w:type="spellEnd"/>
      <w:r w:rsidR="00BD2868">
        <w:t>, a Refinitiv service</w:t>
      </w:r>
      <w:r w:rsidR="006F4469">
        <w:t xml:space="preserve">. These data </w:t>
      </w:r>
      <w:r w:rsidR="0096487C">
        <w:t>are</w:t>
      </w:r>
      <w:r w:rsidR="006F4469">
        <w:t xml:space="preserve"> highly detailed and cover daily information </w:t>
      </w:r>
      <w:r w:rsidR="0096487C">
        <w:t>about</w:t>
      </w:r>
      <w:r w:rsidR="006F4469">
        <w:t xml:space="preserve"> most financial products. </w:t>
      </w:r>
      <w:r w:rsidR="00730F3F">
        <w:t>The</w:t>
      </w:r>
      <w:r w:rsidR="0011645B">
        <w:t xml:space="preserve"> two</w:t>
      </w:r>
      <w:r w:rsidR="00730F3F">
        <w:t xml:space="preserve"> security identifying data used were</w:t>
      </w:r>
      <w:r w:rsidR="0011645B">
        <w:t>:</w:t>
      </w:r>
      <w:r w:rsidR="00730F3F">
        <w:t xml:space="preserve"> company name</w:t>
      </w:r>
      <w:r w:rsidR="0011645B">
        <w:t xml:space="preserve"> (</w:t>
      </w:r>
      <w:r w:rsidR="0011645B">
        <w:rPr>
          <w:i/>
          <w:iCs/>
        </w:rPr>
        <w:t>company name</w:t>
      </w:r>
      <w:r w:rsidR="0011645B">
        <w:t>) and the International Securities Identification Number (</w:t>
      </w:r>
      <w:r w:rsidR="0011645B">
        <w:rPr>
          <w:i/>
          <w:iCs/>
        </w:rPr>
        <w:t>ISIN</w:t>
      </w:r>
      <w:r w:rsidR="0011645B">
        <w:t xml:space="preserve">). For the analysis of the securities the following variables were chosen: </w:t>
      </w:r>
      <w:r w:rsidR="008D1116">
        <w:t>Market value (</w:t>
      </w:r>
      <w:proofErr w:type="spellStart"/>
      <w:r w:rsidR="008D1116">
        <w:rPr>
          <w:i/>
          <w:iCs/>
        </w:rPr>
        <w:t>market_value</w:t>
      </w:r>
      <w:proofErr w:type="spellEnd"/>
      <w:r w:rsidR="008D1116">
        <w:t>), lagging market value (</w:t>
      </w:r>
      <w:r w:rsidR="008D1116">
        <w:rPr>
          <w:i/>
          <w:iCs/>
        </w:rPr>
        <w:t>lag1.market_value</w:t>
      </w:r>
      <w:r w:rsidR="008D1116">
        <w:t>), monthly return (</w:t>
      </w:r>
      <w:r w:rsidR="008D1116">
        <w:rPr>
          <w:i/>
          <w:iCs/>
        </w:rPr>
        <w:t>ret</w:t>
      </w:r>
      <w:r w:rsidR="008D1116">
        <w:t xml:space="preserve">), </w:t>
      </w:r>
      <w:r w:rsidR="004057F1">
        <w:t>companies’ size</w:t>
      </w:r>
      <w:r w:rsidR="008D1116">
        <w:t xml:space="preserve"> (</w:t>
      </w:r>
      <w:r w:rsidR="008D1116">
        <w:rPr>
          <w:i/>
          <w:iCs/>
        </w:rPr>
        <w:t>size</w:t>
      </w:r>
      <w:r w:rsidR="008D1116">
        <w:t>), value premium (</w:t>
      </w:r>
      <w:r w:rsidR="008D1116">
        <w:rPr>
          <w:i/>
          <w:iCs/>
        </w:rPr>
        <w:t>value</w:t>
      </w:r>
      <w:r w:rsidR="008D1116">
        <w:t>), profitability (</w:t>
      </w:r>
      <w:r w:rsidR="008D1116">
        <w:rPr>
          <w:i/>
          <w:iCs/>
        </w:rPr>
        <w:t>prof</w:t>
      </w:r>
      <w:r w:rsidR="008D1116">
        <w:t xml:space="preserve">), </w:t>
      </w:r>
      <w:r w:rsidR="00C838D1">
        <w:t xml:space="preserve">and </w:t>
      </w:r>
      <w:r w:rsidR="004057F1">
        <w:t>firms’ investing behavior (</w:t>
      </w:r>
      <w:r w:rsidR="004057F1">
        <w:rPr>
          <w:i/>
          <w:iCs/>
        </w:rPr>
        <w:t>inv</w:t>
      </w:r>
      <w:r w:rsidR="004057F1">
        <w:t>).</w:t>
      </w:r>
    </w:p>
    <w:p w14:paraId="50B4CC2F" w14:textId="77777777" w:rsidR="00BF03C2" w:rsidRDefault="00BF03C2" w:rsidP="004421B4">
      <w:pPr>
        <w:spacing w:line="360" w:lineRule="auto"/>
      </w:pPr>
    </w:p>
    <w:p w14:paraId="319F854A" w14:textId="4FC92732" w:rsidR="007D351A" w:rsidRDefault="007D351A" w:rsidP="004421B4">
      <w:pPr>
        <w:spacing w:line="360" w:lineRule="auto"/>
      </w:pPr>
      <w:r>
        <w:t>The timespan for which the empirical study will take place ranges from 2002 until 2018. Said timeline, was selected based on the richness of events between the two dates, including the WorldCom scandal, the 2008 financial crisis, the default of Greece on its debt, but also other positive events to the investors as the continuous dovish monetary policy after 2008, with all time low interest rates as flagship strategy.</w:t>
      </w:r>
    </w:p>
    <w:p w14:paraId="4ADD3428" w14:textId="65B6A7E6" w:rsidR="0096487C" w:rsidRDefault="0096487C" w:rsidP="004421B4">
      <w:pPr>
        <w:spacing w:line="360" w:lineRule="auto"/>
      </w:pPr>
    </w:p>
    <w:p w14:paraId="2B541F29" w14:textId="77777777" w:rsidR="00F83B0E" w:rsidRDefault="00F83B0E" w:rsidP="004421B4">
      <w:pPr>
        <w:spacing w:line="360" w:lineRule="auto"/>
      </w:pPr>
    </w:p>
    <w:p w14:paraId="1E496EE1" w14:textId="1C9F6AD7" w:rsidR="0096487C" w:rsidRPr="000F702A" w:rsidRDefault="000A6E41" w:rsidP="000F702A">
      <w:pPr>
        <w:pStyle w:val="Heading2"/>
        <w:rPr>
          <w:rFonts w:ascii="Times New Roman" w:hAnsi="Times New Roman" w:cs="Times New Roman"/>
          <w:b/>
          <w:bCs/>
          <w:color w:val="000000" w:themeColor="text1"/>
          <w:sz w:val="24"/>
          <w:szCs w:val="24"/>
        </w:rPr>
      </w:pPr>
      <w:bookmarkStart w:id="16" w:name="_Toc102301206"/>
      <w:bookmarkStart w:id="17" w:name="_Toc103963049"/>
      <w:r w:rsidRPr="000F702A">
        <w:rPr>
          <w:rFonts w:ascii="Times New Roman" w:hAnsi="Times New Roman" w:cs="Times New Roman"/>
          <w:b/>
          <w:bCs/>
          <w:color w:val="000000" w:themeColor="text1"/>
          <w:sz w:val="24"/>
          <w:szCs w:val="24"/>
        </w:rPr>
        <w:t>3</w:t>
      </w:r>
      <w:r w:rsidR="0096487C" w:rsidRPr="000F702A">
        <w:rPr>
          <w:rFonts w:ascii="Times New Roman" w:hAnsi="Times New Roman" w:cs="Times New Roman"/>
          <w:b/>
          <w:bCs/>
          <w:color w:val="000000" w:themeColor="text1"/>
          <w:sz w:val="24"/>
          <w:szCs w:val="24"/>
        </w:rPr>
        <w:t>.</w:t>
      </w:r>
      <w:r w:rsidR="009F6CAE">
        <w:rPr>
          <w:rFonts w:ascii="Times New Roman" w:hAnsi="Times New Roman" w:cs="Times New Roman"/>
          <w:b/>
          <w:bCs/>
          <w:color w:val="000000" w:themeColor="text1"/>
          <w:sz w:val="24"/>
          <w:szCs w:val="24"/>
        </w:rPr>
        <w:t>3</w:t>
      </w:r>
      <w:r w:rsidR="0096487C" w:rsidRPr="000F702A">
        <w:rPr>
          <w:rFonts w:ascii="Times New Roman" w:hAnsi="Times New Roman" w:cs="Times New Roman"/>
          <w:b/>
          <w:bCs/>
          <w:color w:val="000000" w:themeColor="text1"/>
          <w:sz w:val="24"/>
          <w:szCs w:val="24"/>
        </w:rPr>
        <w:t xml:space="preserve"> Data Analysis Tools</w:t>
      </w:r>
      <w:bookmarkEnd w:id="16"/>
      <w:bookmarkEnd w:id="17"/>
    </w:p>
    <w:p w14:paraId="22821605" w14:textId="2C997971" w:rsidR="0096487C" w:rsidRDefault="0096487C" w:rsidP="00C608D9">
      <w:pPr>
        <w:spacing w:line="360" w:lineRule="auto"/>
        <w:rPr>
          <w:b/>
          <w:bCs/>
        </w:rPr>
      </w:pPr>
      <w:r>
        <w:rPr>
          <w:b/>
          <w:bCs/>
        </w:rPr>
        <w:tab/>
      </w:r>
    </w:p>
    <w:p w14:paraId="2AAAE02A" w14:textId="6CC60C7B" w:rsidR="00CF1860" w:rsidRDefault="0096487C" w:rsidP="00CF1860">
      <w:pPr>
        <w:spacing w:line="360" w:lineRule="auto"/>
      </w:pPr>
      <w:r>
        <w:rPr>
          <w:b/>
          <w:bCs/>
        </w:rPr>
        <w:tab/>
      </w:r>
      <w:r>
        <w:t xml:space="preserve">Once the data is </w:t>
      </w:r>
      <w:r w:rsidR="00CF1860">
        <w:t>at disposition</w:t>
      </w:r>
      <w:r>
        <w:t xml:space="preserve">, it is worthwhile selecting a set of </w:t>
      </w:r>
      <w:r w:rsidR="00BD2868">
        <w:t xml:space="preserve">tools needed to edit, clean, format, and lastly, analyze the data. </w:t>
      </w:r>
    </w:p>
    <w:p w14:paraId="04D9C6C5" w14:textId="77777777" w:rsidR="00DC3E44" w:rsidRDefault="00DC3E44" w:rsidP="00CF1860">
      <w:pPr>
        <w:spacing w:line="360" w:lineRule="auto"/>
      </w:pPr>
    </w:p>
    <w:p w14:paraId="12572A38" w14:textId="07A858E4" w:rsidR="00CF1860" w:rsidRDefault="00CF1860" w:rsidP="00CF1860">
      <w:pPr>
        <w:spacing w:line="360" w:lineRule="auto"/>
      </w:pPr>
      <w:r>
        <w:t>For the former three required jobs, Python w</w:t>
      </w:r>
      <w:r w:rsidR="00DE6B6C">
        <w:t xml:space="preserve">as </w:t>
      </w:r>
      <w:r>
        <w:t xml:space="preserve">used. This language designed by </w:t>
      </w:r>
      <w:r w:rsidR="008B284F">
        <w:t xml:space="preserve">Dutch programmer, </w:t>
      </w:r>
      <w:r>
        <w:t>Guido van Rossum</w:t>
      </w:r>
      <w:r w:rsidR="008B284F">
        <w:t xml:space="preserve">, offers a great variety of libraries that make the process of preparing the data for the analysis simple and intuitive. The packages used in this research include: Pandas, a library aimed at data manipulation and analysis; </w:t>
      </w:r>
      <w:proofErr w:type="spellStart"/>
      <w:r w:rsidR="008B284F">
        <w:t>Openpyxl</w:t>
      </w:r>
      <w:proofErr w:type="spellEnd"/>
      <w:r w:rsidR="008B284F">
        <w:t xml:space="preserve"> for writing and reading Excel files</w:t>
      </w:r>
      <w:r w:rsidR="00B35611">
        <w:t xml:space="preserve">; </w:t>
      </w:r>
      <w:proofErr w:type="spellStart"/>
      <w:r w:rsidR="00B35611">
        <w:t>FuzzyWuzzy</w:t>
      </w:r>
      <w:proofErr w:type="spellEnd"/>
      <w:r w:rsidR="00B35611">
        <w:t xml:space="preserve">, for which its name should not </w:t>
      </w:r>
      <w:r w:rsidR="00DC3E44">
        <w:t xml:space="preserve">sidetrack the readers, from its outstanding string-matching capability; and lastly </w:t>
      </w:r>
      <w:proofErr w:type="spellStart"/>
      <w:r w:rsidR="00DC3E44">
        <w:t>Levenshtein</w:t>
      </w:r>
      <w:proofErr w:type="spellEnd"/>
      <w:r w:rsidR="00DC3E44">
        <w:t xml:space="preserve">, which contrary to the previous library, its name does reveal its use for calculation of </w:t>
      </w:r>
      <w:proofErr w:type="spellStart"/>
      <w:r w:rsidR="00DC3E44">
        <w:t>Levenshtein</w:t>
      </w:r>
      <w:proofErr w:type="spellEnd"/>
      <w:r w:rsidR="00DC3E44">
        <w:t xml:space="preserve"> Distances, and edit operations. </w:t>
      </w:r>
      <w:r w:rsidR="00DE6B6C">
        <w:t xml:space="preserve">All the code was compiled </w:t>
      </w:r>
      <w:r w:rsidR="00D04294">
        <w:t>on</w:t>
      </w:r>
      <w:r w:rsidR="00DE6B6C">
        <w:t xml:space="preserve"> PyCharm, which is a Czech integrated development environment (IDE) </w:t>
      </w:r>
      <w:r w:rsidR="00D04294">
        <w:t>specifically tailored for Python.</w:t>
      </w:r>
    </w:p>
    <w:p w14:paraId="3FF409C1" w14:textId="1026FE71" w:rsidR="00DE6B6C" w:rsidRDefault="00DE6B6C" w:rsidP="00CF1860">
      <w:pPr>
        <w:spacing w:line="360" w:lineRule="auto"/>
      </w:pPr>
    </w:p>
    <w:p w14:paraId="0191357C" w14:textId="77777777" w:rsidR="00C9053C" w:rsidRDefault="00DE6B6C" w:rsidP="00CF1860">
      <w:pPr>
        <w:spacing w:line="360" w:lineRule="auto"/>
      </w:pPr>
      <w:r>
        <w:lastRenderedPageBreak/>
        <w:t xml:space="preserve">For the data analysis, R and </w:t>
      </w:r>
      <w:r w:rsidR="00D04294">
        <w:t xml:space="preserve">Microsoft </w:t>
      </w:r>
      <w:r>
        <w:t>Excel were the programs of choice</w:t>
      </w:r>
      <w:r w:rsidR="00D04294">
        <w:t xml:space="preserve">. The former commonly </w:t>
      </w:r>
      <w:r w:rsidR="006C6C86">
        <w:t xml:space="preserve">is </w:t>
      </w:r>
      <w:r w:rsidR="00D04294">
        <w:t>used for statistical computing and, therefore, ideal for the task. The code for this programming language was compiled on its native IDE, R</w:t>
      </w:r>
      <w:r w:rsidR="001E7C92">
        <w:t>S</w:t>
      </w:r>
      <w:r w:rsidR="00D04294">
        <w:t xml:space="preserve">tudio. </w:t>
      </w:r>
    </w:p>
    <w:p w14:paraId="722AF9EF" w14:textId="77777777" w:rsidR="000E3083" w:rsidRDefault="00D04294" w:rsidP="00CF1860">
      <w:pPr>
        <w:spacing w:line="360" w:lineRule="auto"/>
      </w:pPr>
      <w:r>
        <w:t>The latter</w:t>
      </w:r>
      <w:r w:rsidR="001E7C92">
        <w:t xml:space="preserve">, developed by the Washington based company, Microsoft, </w:t>
      </w:r>
      <w:r w:rsidR="006C6C86">
        <w:t xml:space="preserve">has </w:t>
      </w:r>
      <w:r w:rsidR="00C9053C">
        <w:t xml:space="preserve">a </w:t>
      </w:r>
      <w:r w:rsidR="006C6C86">
        <w:t xml:space="preserve">similar </w:t>
      </w:r>
      <w:r w:rsidR="00C9053C">
        <w:t>goal</w:t>
      </w:r>
      <w:r w:rsidR="006C6C86">
        <w:t xml:space="preserve"> but offers less flexibility and limited</w:t>
      </w:r>
      <w:r w:rsidR="00C9053C">
        <w:t xml:space="preserve"> programming capability. It is, however, good enough to carry out the statistical analysis required for the final part of the empirical research.</w:t>
      </w:r>
    </w:p>
    <w:p w14:paraId="2318D3E0" w14:textId="5184E3FB" w:rsidR="005F79DC" w:rsidRDefault="00C9053C" w:rsidP="00CF1860">
      <w:pPr>
        <w:spacing w:line="360" w:lineRule="auto"/>
      </w:pPr>
      <w:r>
        <w:t xml:space="preserve">All the code used for this research is original and </w:t>
      </w:r>
      <w:r w:rsidR="00E70FA2">
        <w:t xml:space="preserve">written by the author, and Dr. </w:t>
      </w:r>
      <w:proofErr w:type="spellStart"/>
      <w:r w:rsidR="00E70FA2">
        <w:t>Kværner</w:t>
      </w:r>
      <w:proofErr w:type="spellEnd"/>
      <w:r w:rsidR="00E70FA2">
        <w:t>.</w:t>
      </w:r>
      <w:r w:rsidR="00F83B0E">
        <w:t xml:space="preserve"> </w:t>
      </w:r>
    </w:p>
    <w:p w14:paraId="3BCA7D1F" w14:textId="69FC017E" w:rsidR="000F702A" w:rsidRDefault="000F702A" w:rsidP="00CF1860">
      <w:pPr>
        <w:spacing w:line="360" w:lineRule="auto"/>
      </w:pPr>
    </w:p>
    <w:p w14:paraId="03D22A99" w14:textId="77777777" w:rsidR="00CE6F0F" w:rsidRPr="0088009F" w:rsidRDefault="00CE6F0F" w:rsidP="00CF1860">
      <w:pPr>
        <w:spacing w:line="360" w:lineRule="auto"/>
      </w:pPr>
    </w:p>
    <w:p w14:paraId="0858F8D2" w14:textId="6843C1F5" w:rsidR="004057F1" w:rsidRPr="000F702A" w:rsidRDefault="000A6E41" w:rsidP="000F702A">
      <w:pPr>
        <w:pStyle w:val="Heading2"/>
        <w:rPr>
          <w:rFonts w:ascii="Times New Roman" w:hAnsi="Times New Roman" w:cs="Times New Roman"/>
          <w:b/>
          <w:bCs/>
          <w:color w:val="000000" w:themeColor="text1"/>
          <w:sz w:val="24"/>
          <w:szCs w:val="24"/>
        </w:rPr>
      </w:pPr>
      <w:bookmarkStart w:id="18" w:name="_Toc102301207"/>
      <w:bookmarkStart w:id="19" w:name="_Toc103963050"/>
      <w:r w:rsidRPr="000F702A">
        <w:rPr>
          <w:rFonts w:ascii="Times New Roman" w:hAnsi="Times New Roman" w:cs="Times New Roman"/>
          <w:b/>
          <w:bCs/>
          <w:color w:val="000000" w:themeColor="text1"/>
          <w:sz w:val="24"/>
          <w:szCs w:val="24"/>
        </w:rPr>
        <w:t>3</w:t>
      </w:r>
      <w:r w:rsidR="00752D9A" w:rsidRPr="000F702A">
        <w:rPr>
          <w:rFonts w:ascii="Times New Roman" w:hAnsi="Times New Roman" w:cs="Times New Roman"/>
          <w:b/>
          <w:bCs/>
          <w:color w:val="000000" w:themeColor="text1"/>
          <w:sz w:val="24"/>
          <w:szCs w:val="24"/>
        </w:rPr>
        <w:t>.</w:t>
      </w:r>
      <w:r w:rsidR="009F6CAE">
        <w:rPr>
          <w:rFonts w:ascii="Times New Roman" w:hAnsi="Times New Roman" w:cs="Times New Roman"/>
          <w:b/>
          <w:bCs/>
          <w:color w:val="000000" w:themeColor="text1"/>
          <w:sz w:val="24"/>
          <w:szCs w:val="24"/>
        </w:rPr>
        <w:t>4</w:t>
      </w:r>
      <w:r w:rsidR="00752D9A" w:rsidRPr="000F702A">
        <w:rPr>
          <w:rFonts w:ascii="Times New Roman" w:hAnsi="Times New Roman" w:cs="Times New Roman"/>
          <w:b/>
          <w:bCs/>
          <w:color w:val="000000" w:themeColor="text1"/>
          <w:sz w:val="24"/>
          <w:szCs w:val="24"/>
        </w:rPr>
        <w:t xml:space="preserve"> Data Preparation</w:t>
      </w:r>
      <w:bookmarkEnd w:id="18"/>
      <w:bookmarkEnd w:id="19"/>
    </w:p>
    <w:p w14:paraId="290F7801" w14:textId="517B9188" w:rsidR="00752D9A" w:rsidRDefault="00752D9A" w:rsidP="00CF1860">
      <w:pPr>
        <w:spacing w:line="360" w:lineRule="auto"/>
      </w:pPr>
    </w:p>
    <w:p w14:paraId="0C8B0013" w14:textId="1345D7FB" w:rsidR="00752D9A" w:rsidRDefault="00752D9A" w:rsidP="00CF1860">
      <w:pPr>
        <w:spacing w:line="360" w:lineRule="auto"/>
      </w:pPr>
      <w:r>
        <w:tab/>
        <w:t xml:space="preserve">As previously mentioned, the preparation process implies data editing, formatting, and selecting among other tasks. </w:t>
      </w:r>
      <w:r w:rsidR="00E5557A">
        <w:t xml:space="preserve">The DNB Household survey data, required a larger effort for the above-stated jobs. This is understandable given the quantity of data and range of collection, resulting in some occasions </w:t>
      </w:r>
      <w:r w:rsidR="00F22EBC">
        <w:t>in</w:t>
      </w:r>
      <w:r w:rsidR="00E5557A">
        <w:t xml:space="preserve"> missing data and </w:t>
      </w:r>
      <w:r w:rsidR="00F22EBC">
        <w:t xml:space="preserve">change in variable names. It is, however, worth recognizing that for every year </w:t>
      </w:r>
      <w:proofErr w:type="spellStart"/>
      <w:r w:rsidR="00F22EBC">
        <w:t>Centerdata</w:t>
      </w:r>
      <w:proofErr w:type="spellEnd"/>
      <w:r w:rsidR="00F22EBC">
        <w:t xml:space="preserve"> publishes a codebook indicating all variable changes.</w:t>
      </w:r>
    </w:p>
    <w:p w14:paraId="797B649D" w14:textId="0DCFD03A" w:rsidR="00F22EBC" w:rsidRDefault="00F22EBC" w:rsidP="00CF1860">
      <w:pPr>
        <w:spacing w:line="360" w:lineRule="auto"/>
      </w:pPr>
    </w:p>
    <w:p w14:paraId="5E267E88" w14:textId="5FBFA358" w:rsidR="002E22BC" w:rsidRDefault="00F22EBC" w:rsidP="00CF1860">
      <w:pPr>
        <w:spacing w:line="360" w:lineRule="auto"/>
      </w:pPr>
      <w:r>
        <w:t>The first</w:t>
      </w:r>
      <w:r w:rsidR="00525FB9">
        <w:t xml:space="preserve"> and main</w:t>
      </w:r>
      <w:r>
        <w:t xml:space="preserve"> issue encountered in the survey data, and therefore, the first task for the data preparation process, involved the information on every individual’s stock portfolio. </w:t>
      </w:r>
      <w:r w:rsidR="002E22BC">
        <w:t>Everyone that received the questionnaire, had the chance of imputing the name of up to 10 stocks (</w:t>
      </w:r>
      <w:r w:rsidR="003F652B">
        <w:rPr>
          <w:i/>
          <w:iCs/>
        </w:rPr>
        <w:t>stock</w:t>
      </w:r>
      <w:r w:rsidR="002E22BC">
        <w:rPr>
          <w:i/>
          <w:iCs/>
        </w:rPr>
        <w:t>1/10</w:t>
      </w:r>
      <w:r w:rsidR="002E22BC">
        <w:t xml:space="preserve">). The problem here is that the collected stock data resulted in mostly incomplete </w:t>
      </w:r>
      <w:r w:rsidR="00E474CF">
        <w:t xml:space="preserve">or misspelled </w:t>
      </w:r>
      <w:r w:rsidR="002E22BC">
        <w:t>security names (e.g.: “</w:t>
      </w:r>
      <w:proofErr w:type="spellStart"/>
      <w:r w:rsidR="002E22BC">
        <w:t>univer</w:t>
      </w:r>
      <w:proofErr w:type="spellEnd"/>
      <w:r w:rsidR="002E22BC">
        <w:t xml:space="preserve">” instead of “Unilever”). In some </w:t>
      </w:r>
      <w:r w:rsidR="003323FE">
        <w:t>occasions</w:t>
      </w:r>
      <w:r w:rsidR="00525FB9">
        <w:t>,</w:t>
      </w:r>
      <w:r w:rsidR="003323FE">
        <w:t xml:space="preserve"> the respondents did use the correct company name (“Unilever”), however, for the used databases this was not enough in order to retrieve the required security data, </w:t>
      </w:r>
      <w:r w:rsidR="00E474CF">
        <w:t>requiring the</w:t>
      </w:r>
      <w:r w:rsidR="003323FE">
        <w:t xml:space="preserve"> ISIN or the registered company name (e.g.: “Unilever PLC”).</w:t>
      </w:r>
      <w:r w:rsidR="00FA3621" w:rsidRPr="00FA3621">
        <w:t xml:space="preserve"> </w:t>
      </w:r>
      <w:r w:rsidR="00FA3621">
        <w:t xml:space="preserve">Our goal consisted on turning the stock imputed by the household component into an official registered stock in order to the be able to then retrieve financial data about it in the </w:t>
      </w:r>
      <w:proofErr w:type="spellStart"/>
      <w:r w:rsidR="00FA3621">
        <w:t>Compustat</w:t>
      </w:r>
      <w:proofErr w:type="spellEnd"/>
      <w:r w:rsidR="00FA3621">
        <w:t xml:space="preserve"> and </w:t>
      </w:r>
      <w:proofErr w:type="spellStart"/>
      <w:r w:rsidR="00FA3621">
        <w:t>Datastream</w:t>
      </w:r>
      <w:proofErr w:type="spellEnd"/>
      <w:r w:rsidR="00FA3621">
        <w:t xml:space="preserve"> databases. </w:t>
      </w:r>
      <w:r w:rsidR="00E474CF">
        <w:t>Once t</w:t>
      </w:r>
      <w:r w:rsidR="00FA3621">
        <w:t xml:space="preserve">he inputted stock was already available, the official names with which it would be matched were downloaded from </w:t>
      </w:r>
      <w:proofErr w:type="spellStart"/>
      <w:r w:rsidR="00FA3621">
        <w:t>Datastream</w:t>
      </w:r>
      <w:proofErr w:type="spellEnd"/>
      <w:r w:rsidR="00FA3621">
        <w:t>. In total more than 9000 security names, with their corresponding ISIN, were used as matching target</w:t>
      </w:r>
      <w:r w:rsidR="00E474CF">
        <w:t>s.</w:t>
      </w:r>
    </w:p>
    <w:p w14:paraId="1F10B5ED" w14:textId="5F2007B5" w:rsidR="003323FE" w:rsidRDefault="003323FE" w:rsidP="00CF1860">
      <w:pPr>
        <w:spacing w:line="360" w:lineRule="auto"/>
      </w:pPr>
    </w:p>
    <w:p w14:paraId="5B1B9381" w14:textId="6BED79E5" w:rsidR="00267350" w:rsidRDefault="00D96D67" w:rsidP="00CF1860">
      <w:pPr>
        <w:spacing w:line="360" w:lineRule="auto"/>
      </w:pPr>
      <w:r>
        <w:lastRenderedPageBreak/>
        <w:t xml:space="preserve">In order to </w:t>
      </w:r>
      <w:r w:rsidR="003323FE">
        <w:t>solve th</w:t>
      </w:r>
      <w:r w:rsidR="00E474CF">
        <w:t>e</w:t>
      </w:r>
      <w:r w:rsidR="003323FE">
        <w:t xml:space="preserve"> problem</w:t>
      </w:r>
      <w:r w:rsidR="00E474CF">
        <w:t xml:space="preserve"> mentioned above</w:t>
      </w:r>
      <w:r w:rsidR="003323FE">
        <w:t xml:space="preserve">, </w:t>
      </w:r>
      <w:r w:rsidR="00267350">
        <w:t xml:space="preserve">we </w:t>
      </w:r>
      <w:r w:rsidR="003323FE">
        <w:t xml:space="preserve">decided to use Python </w:t>
      </w:r>
      <w:r>
        <w:t xml:space="preserve">together with the </w:t>
      </w:r>
      <w:proofErr w:type="spellStart"/>
      <w:r>
        <w:t>FuzzyWuzzy</w:t>
      </w:r>
      <w:proofErr w:type="spellEnd"/>
      <w:r>
        <w:t xml:space="preserve">, and </w:t>
      </w:r>
      <w:proofErr w:type="spellStart"/>
      <w:r>
        <w:t>Levenshtein</w:t>
      </w:r>
      <w:proofErr w:type="spellEnd"/>
      <w:r>
        <w:t xml:space="preserve"> libraries. </w:t>
      </w:r>
      <w:r w:rsidR="00267350">
        <w:t>Firstly,</w:t>
      </w:r>
      <w:r w:rsidR="00A203E0">
        <w:t xml:space="preserve"> each substring (word) in a string was tokenized for both the input stocks and the matching stocks</w:t>
      </w:r>
      <w:r w:rsidR="00267350">
        <w:t>:</w:t>
      </w:r>
    </w:p>
    <w:p w14:paraId="75379588" w14:textId="70707FD5" w:rsidR="00267350" w:rsidRDefault="00267350" w:rsidP="00CF1860">
      <w:pPr>
        <w:spacing w:line="360" w:lineRule="auto"/>
      </w:pPr>
    </w:p>
    <w:p w14:paraId="26E51148" w14:textId="625E2C09" w:rsidR="00267350" w:rsidRDefault="00267350" w:rsidP="00CF1860">
      <w:pPr>
        <w:spacing w:line="360" w:lineRule="auto"/>
        <w:rPr>
          <w:b/>
          <w:bCs/>
          <w:i/>
          <w:iCs/>
        </w:rPr>
      </w:pPr>
      <w:r>
        <w:rPr>
          <w:b/>
          <w:bCs/>
          <w:i/>
          <w:iCs/>
        </w:rPr>
        <w:t>Example</w:t>
      </w:r>
    </w:p>
    <w:tbl>
      <w:tblPr>
        <w:tblStyle w:val="TableGrid"/>
        <w:tblW w:w="0" w:type="auto"/>
        <w:tblBorders>
          <w:top w:val="none" w:sz="0" w:space="0" w:color="auto"/>
          <w:left w:val="none" w:sz="0" w:space="0" w:color="auto"/>
          <w:bottom w:val="double" w:sz="4" w:space="0" w:color="auto"/>
          <w:right w:val="none" w:sz="0" w:space="0" w:color="auto"/>
          <w:insideH w:val="double" w:sz="4" w:space="0" w:color="auto"/>
          <w:insideV w:val="none" w:sz="0" w:space="0" w:color="auto"/>
        </w:tblBorders>
        <w:tblLook w:val="04A0" w:firstRow="1" w:lastRow="0" w:firstColumn="1" w:lastColumn="0" w:noHBand="0" w:noVBand="1"/>
      </w:tblPr>
      <w:tblGrid>
        <w:gridCol w:w="2263"/>
        <w:gridCol w:w="1701"/>
        <w:gridCol w:w="1843"/>
        <w:gridCol w:w="1701"/>
        <w:gridCol w:w="1508"/>
      </w:tblGrid>
      <w:tr w:rsidR="00267350" w14:paraId="013F9C50" w14:textId="77777777" w:rsidTr="00DC1B2A">
        <w:tc>
          <w:tcPr>
            <w:tcW w:w="2263" w:type="dxa"/>
          </w:tcPr>
          <w:p w14:paraId="25EF6087" w14:textId="77777777" w:rsidR="00267350" w:rsidRPr="004D533E" w:rsidRDefault="00267350" w:rsidP="00DC1B2A">
            <w:pPr>
              <w:spacing w:line="360" w:lineRule="auto"/>
              <w:jc w:val="center"/>
            </w:pPr>
            <w:r w:rsidRPr="004D533E">
              <w:t>String</w:t>
            </w:r>
          </w:p>
        </w:tc>
        <w:tc>
          <w:tcPr>
            <w:tcW w:w="6753" w:type="dxa"/>
            <w:gridSpan w:val="4"/>
            <w:vAlign w:val="center"/>
          </w:tcPr>
          <w:p w14:paraId="6B56EFEF" w14:textId="77777777" w:rsidR="00267350" w:rsidRDefault="00267350" w:rsidP="00DC1B2A">
            <w:pPr>
              <w:spacing w:line="360" w:lineRule="auto"/>
              <w:jc w:val="center"/>
            </w:pPr>
            <w:proofErr w:type="spellStart"/>
            <w:r w:rsidRPr="00026A78">
              <w:rPr>
                <w:i/>
                <w:iCs/>
              </w:rPr>
              <w:t>Koninklijke</w:t>
            </w:r>
            <w:proofErr w:type="spellEnd"/>
            <w:r w:rsidRPr="00026A78">
              <w:rPr>
                <w:i/>
                <w:iCs/>
              </w:rPr>
              <w:t xml:space="preserve"> Ahold Delhaize NV</w:t>
            </w:r>
          </w:p>
        </w:tc>
      </w:tr>
      <w:tr w:rsidR="00267350" w14:paraId="58017480" w14:textId="77777777" w:rsidTr="00DC1B2A">
        <w:tc>
          <w:tcPr>
            <w:tcW w:w="2263" w:type="dxa"/>
          </w:tcPr>
          <w:p w14:paraId="005C5F8A" w14:textId="77777777" w:rsidR="00267350" w:rsidRPr="004D533E" w:rsidRDefault="00267350" w:rsidP="00DC1B2A">
            <w:pPr>
              <w:spacing w:line="360" w:lineRule="auto"/>
              <w:jc w:val="center"/>
            </w:pPr>
            <w:r w:rsidRPr="004D533E">
              <w:t>Substring</w:t>
            </w:r>
          </w:p>
        </w:tc>
        <w:tc>
          <w:tcPr>
            <w:tcW w:w="1701" w:type="dxa"/>
            <w:vAlign w:val="center"/>
          </w:tcPr>
          <w:p w14:paraId="72C9E6A1" w14:textId="77777777" w:rsidR="00267350" w:rsidRDefault="00267350" w:rsidP="00DC1B2A">
            <w:pPr>
              <w:spacing w:line="360" w:lineRule="auto"/>
              <w:jc w:val="center"/>
            </w:pPr>
            <w:proofErr w:type="spellStart"/>
            <w:r w:rsidRPr="00026A78">
              <w:rPr>
                <w:i/>
                <w:iCs/>
              </w:rPr>
              <w:t>Koninklijke</w:t>
            </w:r>
            <w:proofErr w:type="spellEnd"/>
            <w:r w:rsidRPr="00026A78">
              <w:rPr>
                <w:i/>
                <w:iCs/>
              </w:rPr>
              <w:t xml:space="preserve"> </w:t>
            </w:r>
          </w:p>
        </w:tc>
        <w:tc>
          <w:tcPr>
            <w:tcW w:w="1843" w:type="dxa"/>
            <w:vAlign w:val="center"/>
          </w:tcPr>
          <w:p w14:paraId="46A1AE5A" w14:textId="77777777" w:rsidR="00267350" w:rsidRDefault="00267350" w:rsidP="00DC1B2A">
            <w:pPr>
              <w:spacing w:line="360" w:lineRule="auto"/>
              <w:jc w:val="center"/>
            </w:pPr>
            <w:r w:rsidRPr="00026A78">
              <w:rPr>
                <w:i/>
                <w:iCs/>
              </w:rPr>
              <w:t xml:space="preserve">Ahold </w:t>
            </w:r>
          </w:p>
        </w:tc>
        <w:tc>
          <w:tcPr>
            <w:tcW w:w="1701" w:type="dxa"/>
            <w:vAlign w:val="center"/>
          </w:tcPr>
          <w:p w14:paraId="43AA8A70" w14:textId="77777777" w:rsidR="00267350" w:rsidRDefault="00267350" w:rsidP="00DC1B2A">
            <w:pPr>
              <w:spacing w:line="360" w:lineRule="auto"/>
              <w:jc w:val="center"/>
            </w:pPr>
            <w:r w:rsidRPr="00026A78">
              <w:rPr>
                <w:i/>
                <w:iCs/>
              </w:rPr>
              <w:t>Delhaize</w:t>
            </w:r>
          </w:p>
        </w:tc>
        <w:tc>
          <w:tcPr>
            <w:tcW w:w="1508" w:type="dxa"/>
            <w:vAlign w:val="center"/>
          </w:tcPr>
          <w:p w14:paraId="008DB911" w14:textId="77777777" w:rsidR="00267350" w:rsidRDefault="00267350" w:rsidP="00DC1B2A">
            <w:pPr>
              <w:spacing w:line="360" w:lineRule="auto"/>
              <w:jc w:val="center"/>
            </w:pPr>
            <w:r w:rsidRPr="00026A78">
              <w:rPr>
                <w:i/>
                <w:iCs/>
              </w:rPr>
              <w:t>NV</w:t>
            </w:r>
          </w:p>
        </w:tc>
      </w:tr>
      <w:tr w:rsidR="00267350" w14:paraId="0FBFBDBF" w14:textId="77777777" w:rsidTr="00DC1B2A">
        <w:tc>
          <w:tcPr>
            <w:tcW w:w="2263" w:type="dxa"/>
          </w:tcPr>
          <w:p w14:paraId="4ADF3C99" w14:textId="77777777" w:rsidR="00267350" w:rsidRPr="004D533E" w:rsidRDefault="00267350" w:rsidP="00DC1B2A">
            <w:pPr>
              <w:spacing w:line="360" w:lineRule="auto"/>
              <w:jc w:val="center"/>
            </w:pPr>
            <w:r>
              <w:t>Token</w:t>
            </w:r>
          </w:p>
        </w:tc>
        <w:tc>
          <w:tcPr>
            <w:tcW w:w="1701" w:type="dxa"/>
            <w:vAlign w:val="center"/>
          </w:tcPr>
          <w:p w14:paraId="7124A6AD" w14:textId="77777777" w:rsidR="00267350" w:rsidRDefault="00267350" w:rsidP="00DC1B2A">
            <w:pPr>
              <w:spacing w:line="360" w:lineRule="auto"/>
              <w:jc w:val="center"/>
            </w:pPr>
            <w:r>
              <w:t>1</w:t>
            </w:r>
          </w:p>
        </w:tc>
        <w:tc>
          <w:tcPr>
            <w:tcW w:w="1843" w:type="dxa"/>
            <w:vAlign w:val="center"/>
          </w:tcPr>
          <w:p w14:paraId="261B26AC" w14:textId="77777777" w:rsidR="00267350" w:rsidRDefault="00267350" w:rsidP="00DC1B2A">
            <w:pPr>
              <w:spacing w:line="360" w:lineRule="auto"/>
              <w:jc w:val="center"/>
            </w:pPr>
            <w:r>
              <w:t>2</w:t>
            </w:r>
          </w:p>
        </w:tc>
        <w:tc>
          <w:tcPr>
            <w:tcW w:w="1701" w:type="dxa"/>
            <w:vAlign w:val="center"/>
          </w:tcPr>
          <w:p w14:paraId="7AA756A5" w14:textId="77777777" w:rsidR="00267350" w:rsidRDefault="00267350" w:rsidP="00DC1B2A">
            <w:pPr>
              <w:spacing w:line="360" w:lineRule="auto"/>
              <w:jc w:val="center"/>
            </w:pPr>
            <w:r>
              <w:t>3</w:t>
            </w:r>
          </w:p>
        </w:tc>
        <w:tc>
          <w:tcPr>
            <w:tcW w:w="1508" w:type="dxa"/>
            <w:vAlign w:val="center"/>
          </w:tcPr>
          <w:p w14:paraId="00B3E0B2" w14:textId="77777777" w:rsidR="00267350" w:rsidRDefault="00267350" w:rsidP="00DC1B2A">
            <w:pPr>
              <w:spacing w:line="360" w:lineRule="auto"/>
              <w:jc w:val="center"/>
            </w:pPr>
            <w:r>
              <w:t>4</w:t>
            </w:r>
          </w:p>
        </w:tc>
      </w:tr>
    </w:tbl>
    <w:p w14:paraId="4D52D224" w14:textId="77777777" w:rsidR="00267350" w:rsidRDefault="00267350" w:rsidP="00CF1860">
      <w:pPr>
        <w:spacing w:line="360" w:lineRule="auto"/>
      </w:pPr>
    </w:p>
    <w:p w14:paraId="44EE3B45" w14:textId="037FC89D" w:rsidR="00A203E0" w:rsidRDefault="00267350" w:rsidP="00A203E0">
      <w:pPr>
        <w:spacing w:line="360" w:lineRule="auto"/>
      </w:pPr>
      <w:r>
        <w:t>Then, we</w:t>
      </w:r>
      <w:r w:rsidR="00D96D67">
        <w:t xml:space="preserve"> </w:t>
      </w:r>
      <w:r>
        <w:t>use</w:t>
      </w:r>
      <w:r w:rsidR="0026686A">
        <w:t>d</w:t>
      </w:r>
      <w:r>
        <w:t xml:space="preserve"> partial token matching</w:t>
      </w:r>
      <w:r w:rsidR="00D96D67">
        <w:t xml:space="preserve"> based on</w:t>
      </w:r>
      <w:r>
        <w:t xml:space="preserve"> the</w:t>
      </w:r>
      <w:r w:rsidR="00D96D67">
        <w:t xml:space="preserve"> </w:t>
      </w:r>
      <w:proofErr w:type="spellStart"/>
      <w:r w:rsidR="00D96D67">
        <w:t>Levenshtein</w:t>
      </w:r>
      <w:proofErr w:type="spellEnd"/>
      <w:r w:rsidR="00D96D67">
        <w:t xml:space="preserve"> distance</w:t>
      </w:r>
      <w:r w:rsidR="006359EF">
        <w:t xml:space="preserve"> ratio</w:t>
      </w:r>
      <w:r w:rsidR="00D96D67">
        <w:t xml:space="preserve"> (</w:t>
      </w:r>
      <w:r w:rsidR="006359EF">
        <w:t xml:space="preserve">Chapter </w:t>
      </w:r>
      <w:r w:rsidR="006E7C5B">
        <w:t>3</w:t>
      </w:r>
      <w:r w:rsidR="006359EF">
        <w:t>.</w:t>
      </w:r>
      <w:r w:rsidR="006E7C5B">
        <w:t>1</w:t>
      </w:r>
      <w:r w:rsidR="003354E0">
        <w:t>) between</w:t>
      </w:r>
      <w:r w:rsidR="00D96D67">
        <w:t xml:space="preserve"> </w:t>
      </w:r>
      <w:r>
        <w:t>the tokenized input stock name, and the best-matching tokenized matching stock</w:t>
      </w:r>
      <w:r w:rsidR="0026686A">
        <w:t xml:space="preserve"> (</w:t>
      </w:r>
      <w:r w:rsidR="00A203E0">
        <w:t>calculated over all available tokens</w:t>
      </w:r>
      <w:r w:rsidR="0026686A">
        <w:t>)</w:t>
      </w:r>
      <w:r w:rsidR="00354F86">
        <w:t>. In order to get the best matching token, the algorithm iterates over each one of the tokens of the target stocks, at the end it saves the one with the highest score</w:t>
      </w:r>
      <w:r>
        <w:t xml:space="preserve">. </w:t>
      </w:r>
      <w:r w:rsidR="00A203E0">
        <w:t>The scrip</w:t>
      </w:r>
      <w:r w:rsidR="00354F86">
        <w:t>t</w:t>
      </w:r>
      <w:r w:rsidR="00A203E0">
        <w:t xml:space="preserve"> would then return a python list composed of the stock with the best matching token, its ISIN, and the partial token matching ratio</w:t>
      </w:r>
      <w:r w:rsidR="00FA3621">
        <w:t>, for each one of the input stocks</w:t>
      </w:r>
      <w:r w:rsidR="00A203E0">
        <w:t xml:space="preserve">. </w:t>
      </w:r>
    </w:p>
    <w:p w14:paraId="112F2EDF" w14:textId="77777777" w:rsidR="009E7221" w:rsidRDefault="009E7221" w:rsidP="00CF1860">
      <w:pPr>
        <w:spacing w:line="360" w:lineRule="auto"/>
      </w:pPr>
    </w:p>
    <w:p w14:paraId="3C6DF896" w14:textId="47AA124A" w:rsidR="00026A78" w:rsidRPr="009E7221" w:rsidRDefault="009E7221" w:rsidP="00CF1860">
      <w:pPr>
        <w:spacing w:line="360" w:lineRule="auto"/>
        <w:rPr>
          <w:b/>
          <w:bCs/>
          <w:i/>
          <w:iCs/>
        </w:rPr>
      </w:pPr>
      <w:r w:rsidRPr="009E7221">
        <w:rPr>
          <w:b/>
          <w:bCs/>
          <w:i/>
          <w:iCs/>
        </w:rPr>
        <w:t>Example</w:t>
      </w:r>
      <w:r w:rsidR="00FA3621">
        <w:rPr>
          <w:b/>
          <w:bCs/>
          <w:i/>
          <w:iCs/>
        </w:rPr>
        <w:t xml:space="preserve"> Output</w:t>
      </w:r>
      <w:r>
        <w:rPr>
          <w:b/>
          <w:bCs/>
          <w:i/>
          <w:iCs/>
        </w:rPr>
        <w:t>:</w:t>
      </w:r>
    </w:p>
    <w:p w14:paraId="5C72B19B" w14:textId="425E6DCD" w:rsidR="00026A78" w:rsidRDefault="00026A78" w:rsidP="00026A78">
      <w:pPr>
        <w:spacing w:line="360" w:lineRule="auto"/>
        <w:jc w:val="center"/>
      </w:pPr>
      <w:r>
        <w:t xml:space="preserve">Input: </w:t>
      </w:r>
      <w:r>
        <w:rPr>
          <w:i/>
          <w:iCs/>
        </w:rPr>
        <w:t>ahold</w:t>
      </w:r>
      <w:r>
        <w:rPr>
          <w:i/>
          <w:iCs/>
        </w:rPr>
        <w:tab/>
      </w:r>
      <w:r>
        <w:rPr>
          <w:i/>
          <w:iCs/>
        </w:rPr>
        <w:tab/>
      </w:r>
      <w:r w:rsidR="009E7221">
        <w:t>Return</w:t>
      </w:r>
      <w:r>
        <w:t xml:space="preserve">: </w:t>
      </w:r>
      <w:r w:rsidR="009E7221">
        <w:t>[“</w:t>
      </w:r>
      <w:proofErr w:type="spellStart"/>
      <w:r w:rsidRPr="00026A78">
        <w:rPr>
          <w:i/>
          <w:iCs/>
        </w:rPr>
        <w:t>Koninklijke</w:t>
      </w:r>
      <w:proofErr w:type="spellEnd"/>
      <w:r w:rsidRPr="00026A78">
        <w:rPr>
          <w:i/>
          <w:iCs/>
        </w:rPr>
        <w:t xml:space="preserve"> Ahold Delhaize NV</w:t>
      </w:r>
      <w:r w:rsidR="009E7221">
        <w:rPr>
          <w:i/>
          <w:iCs/>
        </w:rPr>
        <w:t xml:space="preserve">”, </w:t>
      </w:r>
      <w:r w:rsidR="00003CC8">
        <w:rPr>
          <w:i/>
          <w:iCs/>
        </w:rPr>
        <w:t>“</w:t>
      </w:r>
      <w:r w:rsidR="00003CC8" w:rsidRPr="00003CC8">
        <w:rPr>
          <w:i/>
          <w:iCs/>
        </w:rPr>
        <w:t>NL0011794037</w:t>
      </w:r>
      <w:r w:rsidR="00003CC8">
        <w:rPr>
          <w:i/>
          <w:iCs/>
        </w:rPr>
        <w:t>”</w:t>
      </w:r>
      <w:r w:rsidR="00003CC8">
        <w:t xml:space="preserve">, </w:t>
      </w:r>
      <w:r>
        <w:rPr>
          <w:i/>
          <w:iCs/>
        </w:rPr>
        <w:t>90</w:t>
      </w:r>
      <w:r w:rsidR="00003CC8">
        <w:t>]</w:t>
      </w:r>
    </w:p>
    <w:p w14:paraId="2163EB87" w14:textId="77777777" w:rsidR="00003CC8" w:rsidRPr="00003CC8" w:rsidRDefault="00003CC8" w:rsidP="000E3083">
      <w:pPr>
        <w:spacing w:line="360" w:lineRule="auto"/>
      </w:pPr>
    </w:p>
    <w:p w14:paraId="264450E6" w14:textId="0028EF5F" w:rsidR="00026A78" w:rsidRDefault="00003CC8" w:rsidP="009E7221">
      <w:pPr>
        <w:spacing w:line="360" w:lineRule="auto"/>
      </w:pPr>
      <w:r>
        <w:t xml:space="preserve">After carefully reviewing the results of the procedure, it was decided that in order maximize accuracy, even if this meant sacrificing some of the data, only the matches with a </w:t>
      </w:r>
      <w:r w:rsidR="0026686A">
        <w:t>ratio</w:t>
      </w:r>
      <w:r>
        <w:t xml:space="preserve"> of over 88 would be kept for later analysis. Furthermore, the script will </w:t>
      </w:r>
      <w:r w:rsidR="008501B6">
        <w:t>then only keep the ISIN.</w:t>
      </w:r>
      <w:r>
        <w:t xml:space="preserve">  </w:t>
      </w:r>
    </w:p>
    <w:p w14:paraId="505ADB2E" w14:textId="48974BD4" w:rsidR="00C562EB" w:rsidRDefault="00C562EB" w:rsidP="009E7221">
      <w:pPr>
        <w:spacing w:line="360" w:lineRule="auto"/>
      </w:pPr>
    </w:p>
    <w:p w14:paraId="62AD306F" w14:textId="77777777" w:rsidR="00B92B71" w:rsidRDefault="00C562EB" w:rsidP="009E7221">
      <w:pPr>
        <w:spacing w:line="360" w:lineRule="auto"/>
      </w:pPr>
      <w:r>
        <w:t xml:space="preserve">Once the portfolio of each respondent was clear, it was time to set up the descriptive variables of the members of the households for the later statistical analysis. For this task Python with Pandas was used. </w:t>
      </w:r>
    </w:p>
    <w:p w14:paraId="00E89BE4" w14:textId="77777777" w:rsidR="00B92B71" w:rsidRDefault="00B92B71" w:rsidP="009E7221">
      <w:pPr>
        <w:spacing w:line="360" w:lineRule="auto"/>
      </w:pPr>
    </w:p>
    <w:p w14:paraId="60E654AA" w14:textId="018A77EA" w:rsidR="00E02488" w:rsidRDefault="00C562EB" w:rsidP="009E7221">
      <w:pPr>
        <w:spacing w:line="360" w:lineRule="auto"/>
      </w:pPr>
      <w:r>
        <w:t xml:space="preserve">The age variable, being quantitative and in a </w:t>
      </w:r>
      <w:r w:rsidR="005B005B">
        <w:t xml:space="preserve">ratio </w:t>
      </w:r>
      <w:r>
        <w:t>scale</w:t>
      </w:r>
      <w:r w:rsidR="005B005B">
        <w:t>,</w:t>
      </w:r>
      <w:r>
        <w:t xml:space="preserve"> did not need any further adjustments. However, although </w:t>
      </w:r>
      <w:r w:rsidR="00453D45">
        <w:t xml:space="preserve">the total net income and the </w:t>
      </w:r>
      <w:r w:rsidR="00E148D4">
        <w:t>wealth</w:t>
      </w:r>
      <w:r w:rsidR="00453D45">
        <w:t xml:space="preserve"> variables share the same nature as the previously mentioned</w:t>
      </w:r>
      <w:r w:rsidR="00E474CF">
        <w:t xml:space="preserve"> variable</w:t>
      </w:r>
      <w:r w:rsidR="00453D45">
        <w:t xml:space="preserve">, it was decided to take the logarithm of </w:t>
      </w:r>
      <w:r w:rsidR="00E148D4">
        <w:t>both.</w:t>
      </w:r>
      <w:r w:rsidR="00B92B71">
        <w:t xml:space="preserve"> This decision is based on that such </w:t>
      </w:r>
      <w:r w:rsidR="005B005B">
        <w:t>variables</w:t>
      </w:r>
      <w:r w:rsidR="00B92B71">
        <w:t xml:space="preserve"> tend to be right skewed, were extreme entries (such large incomes, or </w:t>
      </w:r>
      <w:r w:rsidR="00E148D4">
        <w:t>outstandingly wealthy individuals</w:t>
      </w:r>
      <w:r w:rsidR="00B92B71">
        <w:t xml:space="preserve">) distort the results on a regression. When </w:t>
      </w:r>
      <w:r w:rsidR="00B92B71">
        <w:lastRenderedPageBreak/>
        <w:t>taking the logarithm of these values what one obtains is more symmetrical and normalized residuals</w:t>
      </w:r>
      <w:r w:rsidR="005B005B">
        <w:t>, and as a result, improved validity on the statistical analysis</w:t>
      </w:r>
      <w:r w:rsidR="00B92B71">
        <w:t xml:space="preserve">. </w:t>
      </w:r>
      <w:r w:rsidR="005B005B">
        <w:t>The rest of the variables relevant to the analysis, are all qualitative, and therefore the values were substituted by dummy</w:t>
      </w:r>
      <w:r w:rsidR="005C02C8">
        <w:t>, or binary,</w:t>
      </w:r>
      <w:r w:rsidR="005B005B">
        <w:t xml:space="preserve"> variables. </w:t>
      </w:r>
      <w:r w:rsidR="00E02488">
        <w:t xml:space="preserve">The assignment of the values was purely based on the most repeated </w:t>
      </w:r>
      <w:r w:rsidR="005C02C8">
        <w:t>value receiving</w:t>
      </w:r>
      <w:r w:rsidR="00E02488">
        <w:t xml:space="preserve"> the 1 (</w:t>
      </w:r>
      <w:proofErr w:type="gramStart"/>
      <w:r w:rsidR="00E02488">
        <w:t>i.e.</w:t>
      </w:r>
      <w:proofErr w:type="gramEnd"/>
      <w:r w:rsidR="00E02488">
        <w:t xml:space="preserve"> if there were more m</w:t>
      </w:r>
      <w:r w:rsidR="00F100AA">
        <w:t>en</w:t>
      </w:r>
      <w:r w:rsidR="00E02488">
        <w:t xml:space="preserve"> in the dataset, m</w:t>
      </w:r>
      <w:r w:rsidR="00F100AA">
        <w:t>en</w:t>
      </w:r>
      <w:r w:rsidR="00E02488">
        <w:t xml:space="preserve"> receive dummy value 1, and </w:t>
      </w:r>
      <w:r w:rsidR="00F100AA">
        <w:t>women</w:t>
      </w:r>
      <w:r w:rsidR="00E02488">
        <w:t xml:space="preserve"> receive dummy value 0). </w:t>
      </w:r>
    </w:p>
    <w:p w14:paraId="3436CECB" w14:textId="77777777" w:rsidR="00730F3F" w:rsidRDefault="00730F3F" w:rsidP="00CF1860">
      <w:pPr>
        <w:spacing w:line="360" w:lineRule="auto"/>
      </w:pPr>
    </w:p>
    <w:p w14:paraId="4369272D" w14:textId="1BFA7646" w:rsidR="00555E45" w:rsidRDefault="00E02488" w:rsidP="00CF1860">
      <w:pPr>
        <w:spacing w:line="360" w:lineRule="auto"/>
      </w:pPr>
      <w:r>
        <w:t xml:space="preserve">After this, it was time to classify all of the stocks into the upper or lower tail of each one of the </w:t>
      </w:r>
      <w:proofErr w:type="spellStart"/>
      <w:r>
        <w:t>Fama</w:t>
      </w:r>
      <w:proofErr w:type="spellEnd"/>
      <w:r>
        <w:t>-French factors</w:t>
      </w:r>
      <w:r w:rsidR="0077156A">
        <w:t>.</w:t>
      </w:r>
      <w:r w:rsidR="001A0482" w:rsidRPr="001A0482">
        <w:t xml:space="preserve"> </w:t>
      </w:r>
      <w:r w:rsidR="001A0482">
        <w:t xml:space="preserve">We listed all the stocks from the investors’ portfolios and then </w:t>
      </w:r>
      <w:r w:rsidR="00546693">
        <w:t>turned</w:t>
      </w:r>
      <w:r w:rsidR="001A0482">
        <w:t xml:space="preserve"> the list into a set, so that we would could delete the duplicates.</w:t>
      </w:r>
      <w:r w:rsidR="00546693">
        <w:t xml:space="preserve"> </w:t>
      </w:r>
      <w:r w:rsidR="00F50E90">
        <w:t>This operation took place using R.</w:t>
      </w:r>
      <w:r w:rsidR="001A0482">
        <w:t xml:space="preserve"> </w:t>
      </w:r>
      <w:r w:rsidR="0077156A">
        <w:t>Here, if a stock laid on the lo</w:t>
      </w:r>
      <w:r w:rsidR="005C02C8">
        <w:t>ng</w:t>
      </w:r>
      <w:r w:rsidR="0077156A">
        <w:t xml:space="preserve"> tail of one of the factors, it will then receive a 1 for said factor, otherwise, it would receive a 0. Once that all stocks had its rank on the </w:t>
      </w:r>
      <w:proofErr w:type="spellStart"/>
      <w:r w:rsidR="0077156A">
        <w:t>Fama</w:t>
      </w:r>
      <w:proofErr w:type="spellEnd"/>
      <w:r w:rsidR="0077156A">
        <w:t xml:space="preserve">-French </w:t>
      </w:r>
      <w:r w:rsidR="00555E45">
        <w:t>model, it was time to move back to Python and build 4 lists</w:t>
      </w:r>
      <w:r w:rsidR="00F50E90">
        <w:t>, one for each factor, composed</w:t>
      </w:r>
      <w:r w:rsidR="00A34BC7">
        <w:t xml:space="preserve"> </w:t>
      </w:r>
      <w:r w:rsidR="00F50E90">
        <w:t>uniquely</w:t>
      </w:r>
      <w:r w:rsidR="00A34BC7">
        <w:t xml:space="preserve"> of</w:t>
      </w:r>
      <w:r w:rsidR="00F50E90">
        <w:t xml:space="preserve"> the stocks which received a 1. </w:t>
      </w:r>
      <w:r w:rsidR="00555E45">
        <w:t>Furthermore</w:t>
      </w:r>
      <w:r w:rsidR="00125101">
        <w:t xml:space="preserve">, a new empty variable under the name of </w:t>
      </w:r>
      <w:proofErr w:type="spellStart"/>
      <w:r w:rsidR="00125101">
        <w:rPr>
          <w:i/>
          <w:iCs/>
        </w:rPr>
        <w:t>famafrench_factor</w:t>
      </w:r>
      <w:proofErr w:type="spellEnd"/>
      <w:r w:rsidR="00125101">
        <w:rPr>
          <w:i/>
          <w:iCs/>
        </w:rPr>
        <w:t xml:space="preserve"> </w:t>
      </w:r>
      <w:r w:rsidR="00125101">
        <w:t>was added to the household data.</w:t>
      </w:r>
    </w:p>
    <w:p w14:paraId="31BDA979" w14:textId="3C33A62C" w:rsidR="00F83B0E" w:rsidRDefault="00A34BC7" w:rsidP="00CF1860">
      <w:pPr>
        <w:spacing w:line="360" w:lineRule="auto"/>
      </w:pPr>
      <w:r>
        <w:t xml:space="preserve">The lists were then used to iterate over the household data and build the final files which would then be used for the statistical analysis. </w:t>
      </w:r>
      <w:r w:rsidR="00555E45">
        <w:t xml:space="preserve">This </w:t>
      </w:r>
      <w:r>
        <w:t xml:space="preserve">was conveyed by passing 4 equal processes. Each process checked if a respondent portfolio contained, at least, one of the stocks in </w:t>
      </w:r>
      <w:r w:rsidR="00555E45">
        <w:t>a particular</w:t>
      </w:r>
      <w:r>
        <w:t xml:space="preserve"> list. In the cases </w:t>
      </w:r>
      <w:r w:rsidR="00555E45">
        <w:t>where</w:t>
      </w:r>
      <w:r>
        <w:t xml:space="preserve"> the result</w:t>
      </w:r>
      <w:r w:rsidR="00555E45">
        <w:t xml:space="preserve"> was positive, the </w:t>
      </w:r>
      <w:r w:rsidR="00125101">
        <w:t xml:space="preserve">value for the </w:t>
      </w:r>
      <w:proofErr w:type="spellStart"/>
      <w:r w:rsidR="00125101">
        <w:rPr>
          <w:i/>
          <w:iCs/>
        </w:rPr>
        <w:t>famafrench_factor</w:t>
      </w:r>
      <w:proofErr w:type="spellEnd"/>
      <w:r w:rsidR="00125101">
        <w:rPr>
          <w:i/>
          <w:iCs/>
        </w:rPr>
        <w:t xml:space="preserve"> </w:t>
      </w:r>
      <w:r w:rsidR="00125101">
        <w:t xml:space="preserve">for that household would then be equal to 1, contrarily, if the respondent had </w:t>
      </w:r>
      <w:r w:rsidR="005C02C8">
        <w:t>only short leg</w:t>
      </w:r>
      <w:r w:rsidR="00125101">
        <w:t xml:space="preserve"> stocks in its portfolio, they would receive a 0 for the newly created variable.</w:t>
      </w:r>
      <w:r w:rsidR="00D200EB">
        <w:t xml:space="preserve"> Lastly, once the </w:t>
      </w:r>
      <w:proofErr w:type="spellStart"/>
      <w:r w:rsidR="00D200EB">
        <w:t>dataframes</w:t>
      </w:r>
      <w:proofErr w:type="spellEnd"/>
      <w:r w:rsidR="00D200EB">
        <w:t xml:space="preserve"> were completed (</w:t>
      </w:r>
      <w:r w:rsidR="00D200EB" w:rsidRPr="00D200EB">
        <w:rPr>
          <w:i/>
          <w:iCs/>
        </w:rPr>
        <w:t>figure 2</w:t>
      </w:r>
      <w:r w:rsidR="00D200EB">
        <w:t xml:space="preserve">), the library </w:t>
      </w:r>
      <w:proofErr w:type="spellStart"/>
      <w:r w:rsidR="00D200EB">
        <w:t>Openpyxl</w:t>
      </w:r>
      <w:proofErr w:type="spellEnd"/>
      <w:r w:rsidR="00D200EB">
        <w:t>, was used to turn what was a comma-separated values file (.csv) into a Microsoft Excel file (.xlsx)</w:t>
      </w:r>
      <w:r w:rsidR="00C40268">
        <w:t xml:space="preserve">. </w:t>
      </w:r>
    </w:p>
    <w:p w14:paraId="3962C455" w14:textId="1D12B5F7" w:rsidR="00125101" w:rsidRDefault="00125101" w:rsidP="00CF1860">
      <w:pPr>
        <w:spacing w:line="360" w:lineRule="auto"/>
      </w:pPr>
    </w:p>
    <w:p w14:paraId="6257CC4C" w14:textId="4C216FCE" w:rsidR="00D75132" w:rsidRDefault="00A47A18" w:rsidP="00CF1860">
      <w:pPr>
        <w:spacing w:line="360" w:lineRule="auto"/>
      </w:pPr>
      <w:r>
        <w:t xml:space="preserve">The procedure above marks the end of the data preparation part of this study. The resulting files, one for each of the </w:t>
      </w:r>
      <w:r w:rsidR="00C836D1">
        <w:t>factors have</w:t>
      </w:r>
      <w:r>
        <w:t xml:space="preserve"> all the same variables, and they are ready to be analyzed.</w:t>
      </w:r>
    </w:p>
    <w:p w14:paraId="5145BED4" w14:textId="7BB6BE7A" w:rsidR="003200BA" w:rsidRDefault="003200BA" w:rsidP="00CF1860">
      <w:pPr>
        <w:spacing w:line="360" w:lineRule="auto"/>
      </w:pPr>
    </w:p>
    <w:p w14:paraId="22241C5A" w14:textId="23EA2067" w:rsidR="000E3083" w:rsidRDefault="000E3083" w:rsidP="00CF1860">
      <w:pPr>
        <w:spacing w:line="360" w:lineRule="auto"/>
      </w:pPr>
    </w:p>
    <w:p w14:paraId="67E9CFEE" w14:textId="77777777" w:rsidR="000E3083" w:rsidRDefault="000E3083" w:rsidP="00CF1860">
      <w:pPr>
        <w:spacing w:line="360" w:lineRule="auto"/>
      </w:pPr>
    </w:p>
    <w:p w14:paraId="3474765C" w14:textId="71A0DA10" w:rsidR="000E3083" w:rsidRDefault="000E3083" w:rsidP="00CF1860">
      <w:pPr>
        <w:spacing w:line="360" w:lineRule="auto"/>
      </w:pPr>
    </w:p>
    <w:p w14:paraId="42DA98D7" w14:textId="675599B0" w:rsidR="000E3083" w:rsidRDefault="000E3083" w:rsidP="00CF1860">
      <w:pPr>
        <w:spacing w:line="360" w:lineRule="auto"/>
      </w:pPr>
    </w:p>
    <w:p w14:paraId="59F5E780" w14:textId="77777777" w:rsidR="000E3083" w:rsidRDefault="000E3083" w:rsidP="00CF1860">
      <w:pPr>
        <w:spacing w:line="360" w:lineRule="auto"/>
      </w:pPr>
    </w:p>
    <w:p w14:paraId="169D6EAB" w14:textId="68CABD89" w:rsidR="0088009F" w:rsidRPr="000F702A" w:rsidRDefault="000A6E41" w:rsidP="000F702A">
      <w:pPr>
        <w:pStyle w:val="Heading2"/>
        <w:rPr>
          <w:rFonts w:ascii="Times New Roman" w:hAnsi="Times New Roman" w:cs="Times New Roman"/>
          <w:b/>
          <w:bCs/>
          <w:color w:val="000000" w:themeColor="text1"/>
          <w:sz w:val="24"/>
          <w:szCs w:val="24"/>
        </w:rPr>
      </w:pPr>
      <w:bookmarkStart w:id="20" w:name="_Toc102301208"/>
      <w:bookmarkStart w:id="21" w:name="_Toc103963051"/>
      <w:r w:rsidRPr="000F702A">
        <w:rPr>
          <w:rFonts w:ascii="Times New Roman" w:hAnsi="Times New Roman" w:cs="Times New Roman"/>
          <w:b/>
          <w:bCs/>
          <w:color w:val="000000" w:themeColor="text1"/>
          <w:sz w:val="24"/>
          <w:szCs w:val="24"/>
        </w:rPr>
        <w:lastRenderedPageBreak/>
        <w:t>3</w:t>
      </w:r>
      <w:r w:rsidR="0088009F" w:rsidRPr="000F702A">
        <w:rPr>
          <w:rFonts w:ascii="Times New Roman" w:hAnsi="Times New Roman" w:cs="Times New Roman"/>
          <w:b/>
          <w:bCs/>
          <w:color w:val="000000" w:themeColor="text1"/>
          <w:sz w:val="24"/>
          <w:szCs w:val="24"/>
        </w:rPr>
        <w:t>.</w:t>
      </w:r>
      <w:r w:rsidR="006E7C5B">
        <w:rPr>
          <w:rFonts w:ascii="Times New Roman" w:hAnsi="Times New Roman" w:cs="Times New Roman"/>
          <w:b/>
          <w:bCs/>
          <w:color w:val="000000" w:themeColor="text1"/>
          <w:sz w:val="24"/>
          <w:szCs w:val="24"/>
        </w:rPr>
        <w:t>5</w:t>
      </w:r>
      <w:r w:rsidR="0088009F" w:rsidRPr="000F702A">
        <w:rPr>
          <w:rFonts w:ascii="Times New Roman" w:hAnsi="Times New Roman" w:cs="Times New Roman"/>
          <w:b/>
          <w:bCs/>
          <w:color w:val="000000" w:themeColor="text1"/>
          <w:sz w:val="24"/>
          <w:szCs w:val="24"/>
        </w:rPr>
        <w:t xml:space="preserve"> Data Analysis</w:t>
      </w:r>
      <w:bookmarkEnd w:id="20"/>
      <w:bookmarkEnd w:id="21"/>
    </w:p>
    <w:p w14:paraId="30AB48B3" w14:textId="77777777" w:rsidR="0088009F" w:rsidRDefault="0088009F" w:rsidP="0088009F">
      <w:pPr>
        <w:spacing w:line="360" w:lineRule="auto"/>
        <w:rPr>
          <w:b/>
          <w:bCs/>
        </w:rPr>
      </w:pPr>
    </w:p>
    <w:p w14:paraId="3610C5CF" w14:textId="4F09CEC0" w:rsidR="0088009F" w:rsidRDefault="0088009F" w:rsidP="0088009F">
      <w:pPr>
        <w:spacing w:line="360" w:lineRule="auto"/>
      </w:pPr>
      <w:r>
        <w:rPr>
          <w:b/>
          <w:bCs/>
        </w:rPr>
        <w:tab/>
      </w:r>
      <w:r>
        <w:t>This section of the study consists of the analysis of the datasets described in the previous subchapter. Here, the hypothes</w:t>
      </w:r>
      <w:r w:rsidR="005C02C8">
        <w:t>e</w:t>
      </w:r>
      <w:r>
        <w:t xml:space="preserve">s will be tested, and hopefully after the analysis, it will be possible to answer the research question. This section is the very last step before the cusp of the study, as the results of the analysis work will then build the findings and the further discussion on the topic. </w:t>
      </w:r>
    </w:p>
    <w:p w14:paraId="06E4022C" w14:textId="743418A4" w:rsidR="00F100AA" w:rsidRDefault="00F100AA" w:rsidP="0088009F">
      <w:pPr>
        <w:spacing w:line="360" w:lineRule="auto"/>
      </w:pPr>
    </w:p>
    <w:p w14:paraId="2228D8AF" w14:textId="67600AB7" w:rsidR="00F100AA" w:rsidRDefault="00F100AA" w:rsidP="00F100AA">
      <w:pPr>
        <w:spacing w:line="360" w:lineRule="auto"/>
      </w:pPr>
      <w:r>
        <w:t>As described in the data analysis tool</w:t>
      </w:r>
      <w:r w:rsidR="00C86825">
        <w:t>s</w:t>
      </w:r>
      <w:r>
        <w:t xml:space="preserve"> subchapter, the chosen program for this task was Microsoft Excel, given that it provides a simple and intuitive environment for statistical analysis. Furthermore, using multiple programs, i</w:t>
      </w:r>
      <w:r w:rsidR="00C86825">
        <w:t>t i</w:t>
      </w:r>
      <w:r>
        <w:t xml:space="preserve">s positive </w:t>
      </w:r>
      <w:r w:rsidR="00C86825">
        <w:t>towards</w:t>
      </w:r>
      <w:r>
        <w:t xml:space="preserve"> the development of one’s program “stack”, and consequently, helpful for further research.</w:t>
      </w:r>
    </w:p>
    <w:p w14:paraId="6A8801A5" w14:textId="77777777" w:rsidR="00086A2F" w:rsidRDefault="00086A2F" w:rsidP="00F100AA">
      <w:pPr>
        <w:spacing w:line="360" w:lineRule="auto"/>
      </w:pPr>
    </w:p>
    <w:p w14:paraId="6EAF636A" w14:textId="30FC7ADC" w:rsidR="001B17E3" w:rsidRDefault="001B17E3" w:rsidP="00F100AA">
      <w:pPr>
        <w:spacing w:line="360" w:lineRule="auto"/>
      </w:pPr>
      <w:r>
        <w:t xml:space="preserve">Firstly, prior to analyzing the associations between our data and the dependent variable, that is, the tilt in the portfolios towards the long leg of the </w:t>
      </w:r>
      <w:proofErr w:type="spellStart"/>
      <w:r>
        <w:t>Fama</w:t>
      </w:r>
      <w:proofErr w:type="spellEnd"/>
      <w:r>
        <w:t>-French model, we set up a summary statistics table in order to get a superficial understanding of the predictors. The table can be seen below.</w:t>
      </w:r>
    </w:p>
    <w:p w14:paraId="08E423AA" w14:textId="765815E6" w:rsidR="001B17E3" w:rsidRDefault="001B17E3" w:rsidP="00F100AA">
      <w:pPr>
        <w:spacing w:line="360" w:lineRule="auto"/>
      </w:pPr>
    </w:p>
    <w:p w14:paraId="2C4D183C" w14:textId="192B02F6" w:rsidR="00376110" w:rsidRPr="00376110" w:rsidRDefault="00376110" w:rsidP="00F100AA">
      <w:pPr>
        <w:spacing w:line="360" w:lineRule="auto"/>
        <w:rPr>
          <w:b/>
          <w:bCs/>
          <w:i/>
          <w:iCs/>
        </w:rPr>
      </w:pPr>
      <w:r w:rsidRPr="00376110">
        <w:rPr>
          <w:b/>
          <w:bCs/>
          <w:i/>
          <w:iCs/>
        </w:rPr>
        <w:t xml:space="preserve">Summary Statistics </w:t>
      </w:r>
      <w:r>
        <w:rPr>
          <w:b/>
          <w:bCs/>
          <w:i/>
          <w:iCs/>
        </w:rPr>
        <w:t>– Independent Variables</w:t>
      </w:r>
    </w:p>
    <w:tbl>
      <w:tblPr>
        <w:tblStyle w:val="TableGrid"/>
        <w:tblW w:w="896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2"/>
        <w:gridCol w:w="1727"/>
        <w:gridCol w:w="1507"/>
        <w:gridCol w:w="1186"/>
        <w:gridCol w:w="1549"/>
        <w:gridCol w:w="1261"/>
      </w:tblGrid>
      <w:tr w:rsidR="00086A2F" w:rsidRPr="00532822" w14:paraId="25816A24" w14:textId="77777777" w:rsidTr="00532822">
        <w:trPr>
          <w:trHeight w:val="361"/>
        </w:trPr>
        <w:tc>
          <w:tcPr>
            <w:tcW w:w="1698" w:type="dxa"/>
            <w:tcBorders>
              <w:top w:val="double" w:sz="4" w:space="0" w:color="auto"/>
              <w:bottom w:val="double" w:sz="4" w:space="0" w:color="auto"/>
            </w:tcBorders>
          </w:tcPr>
          <w:p w14:paraId="425BFD7A" w14:textId="2FC3788C" w:rsidR="00CE3EA9" w:rsidRPr="00532822" w:rsidRDefault="00CE3EA9" w:rsidP="00F100AA">
            <w:pPr>
              <w:spacing w:line="360" w:lineRule="auto"/>
              <w:rPr>
                <w:i/>
                <w:iCs/>
                <w:sz w:val="22"/>
                <w:szCs w:val="22"/>
              </w:rPr>
            </w:pPr>
            <w:r w:rsidRPr="00532822">
              <w:rPr>
                <w:i/>
                <w:iCs/>
                <w:sz w:val="22"/>
                <w:szCs w:val="22"/>
              </w:rPr>
              <w:t>Variable</w:t>
            </w:r>
          </w:p>
        </w:tc>
        <w:tc>
          <w:tcPr>
            <w:tcW w:w="1752" w:type="dxa"/>
            <w:tcBorders>
              <w:top w:val="double" w:sz="4" w:space="0" w:color="auto"/>
              <w:bottom w:val="double" w:sz="4" w:space="0" w:color="auto"/>
            </w:tcBorders>
          </w:tcPr>
          <w:p w14:paraId="5E181C2B" w14:textId="2EA3EB04" w:rsidR="00CE3EA9" w:rsidRPr="00532822" w:rsidRDefault="00CE3EA9" w:rsidP="00990742">
            <w:pPr>
              <w:spacing w:line="360" w:lineRule="auto"/>
              <w:jc w:val="center"/>
              <w:rPr>
                <w:i/>
                <w:iCs/>
                <w:sz w:val="22"/>
                <w:szCs w:val="22"/>
              </w:rPr>
            </w:pPr>
            <w:r w:rsidRPr="00532822">
              <w:rPr>
                <w:i/>
                <w:iCs/>
                <w:sz w:val="22"/>
                <w:szCs w:val="22"/>
              </w:rPr>
              <w:t>Mean</w:t>
            </w:r>
          </w:p>
        </w:tc>
        <w:tc>
          <w:tcPr>
            <w:tcW w:w="1523" w:type="dxa"/>
            <w:tcBorders>
              <w:top w:val="double" w:sz="4" w:space="0" w:color="auto"/>
              <w:bottom w:val="double" w:sz="4" w:space="0" w:color="auto"/>
            </w:tcBorders>
          </w:tcPr>
          <w:p w14:paraId="5DFD7835" w14:textId="62377E59" w:rsidR="00CE3EA9" w:rsidRPr="00532822" w:rsidRDefault="00CE3EA9" w:rsidP="00990742">
            <w:pPr>
              <w:spacing w:line="360" w:lineRule="auto"/>
              <w:jc w:val="center"/>
              <w:rPr>
                <w:i/>
                <w:iCs/>
                <w:sz w:val="22"/>
                <w:szCs w:val="22"/>
              </w:rPr>
            </w:pPr>
            <w:r w:rsidRPr="00532822">
              <w:rPr>
                <w:i/>
                <w:iCs/>
                <w:sz w:val="22"/>
                <w:szCs w:val="22"/>
              </w:rPr>
              <w:t>Median</w:t>
            </w:r>
          </w:p>
        </w:tc>
        <w:tc>
          <w:tcPr>
            <w:tcW w:w="1187" w:type="dxa"/>
            <w:tcBorders>
              <w:top w:val="double" w:sz="4" w:space="0" w:color="auto"/>
              <w:bottom w:val="double" w:sz="4" w:space="0" w:color="auto"/>
            </w:tcBorders>
          </w:tcPr>
          <w:p w14:paraId="5FF97A3F" w14:textId="411FF4CC" w:rsidR="00CE3EA9" w:rsidRPr="00532822" w:rsidRDefault="00CE3EA9" w:rsidP="00990742">
            <w:pPr>
              <w:spacing w:line="360" w:lineRule="auto"/>
              <w:jc w:val="center"/>
              <w:rPr>
                <w:i/>
                <w:iCs/>
                <w:sz w:val="22"/>
                <w:szCs w:val="22"/>
              </w:rPr>
            </w:pPr>
            <w:proofErr w:type="spellStart"/>
            <w:r w:rsidRPr="00532822">
              <w:rPr>
                <w:i/>
                <w:iCs/>
                <w:sz w:val="22"/>
                <w:szCs w:val="22"/>
              </w:rPr>
              <w:t>StDev</w:t>
            </w:r>
            <w:proofErr w:type="spellEnd"/>
          </w:p>
        </w:tc>
        <w:tc>
          <w:tcPr>
            <w:tcW w:w="1566" w:type="dxa"/>
            <w:tcBorders>
              <w:top w:val="double" w:sz="4" w:space="0" w:color="auto"/>
              <w:bottom w:val="double" w:sz="4" w:space="0" w:color="auto"/>
            </w:tcBorders>
          </w:tcPr>
          <w:p w14:paraId="00D3996F" w14:textId="312AC466" w:rsidR="00CE3EA9" w:rsidRPr="00532822" w:rsidRDefault="00CE3EA9" w:rsidP="00990742">
            <w:pPr>
              <w:spacing w:line="360" w:lineRule="auto"/>
              <w:jc w:val="center"/>
              <w:rPr>
                <w:i/>
                <w:iCs/>
                <w:sz w:val="22"/>
                <w:szCs w:val="22"/>
              </w:rPr>
            </w:pPr>
            <w:r w:rsidRPr="00532822">
              <w:rPr>
                <w:i/>
                <w:iCs/>
                <w:sz w:val="22"/>
                <w:szCs w:val="22"/>
              </w:rPr>
              <w:t>Minimum</w:t>
            </w:r>
          </w:p>
        </w:tc>
        <w:tc>
          <w:tcPr>
            <w:tcW w:w="1236" w:type="dxa"/>
            <w:tcBorders>
              <w:top w:val="double" w:sz="4" w:space="0" w:color="auto"/>
              <w:bottom w:val="double" w:sz="4" w:space="0" w:color="auto"/>
            </w:tcBorders>
          </w:tcPr>
          <w:p w14:paraId="50B1E2EF" w14:textId="32C525B2" w:rsidR="00CE3EA9" w:rsidRPr="00532822" w:rsidRDefault="00CE3EA9" w:rsidP="00990742">
            <w:pPr>
              <w:spacing w:line="360" w:lineRule="auto"/>
              <w:jc w:val="center"/>
              <w:rPr>
                <w:i/>
                <w:iCs/>
                <w:sz w:val="22"/>
                <w:szCs w:val="22"/>
              </w:rPr>
            </w:pPr>
            <w:r w:rsidRPr="00532822">
              <w:rPr>
                <w:i/>
                <w:iCs/>
                <w:sz w:val="22"/>
                <w:szCs w:val="22"/>
              </w:rPr>
              <w:t>Maximum</w:t>
            </w:r>
          </w:p>
        </w:tc>
      </w:tr>
      <w:tr w:rsidR="00086A2F" w:rsidRPr="00532822" w14:paraId="06BA43C3" w14:textId="77777777" w:rsidTr="00532822">
        <w:trPr>
          <w:trHeight w:val="373"/>
        </w:trPr>
        <w:tc>
          <w:tcPr>
            <w:tcW w:w="1698" w:type="dxa"/>
            <w:tcBorders>
              <w:top w:val="double" w:sz="4" w:space="0" w:color="auto"/>
            </w:tcBorders>
          </w:tcPr>
          <w:p w14:paraId="70D1A99D" w14:textId="326EDED2" w:rsidR="00CE3EA9" w:rsidRPr="00532822" w:rsidRDefault="00CE3EA9" w:rsidP="00F100AA">
            <w:pPr>
              <w:spacing w:line="360" w:lineRule="auto"/>
              <w:rPr>
                <w:i/>
                <w:iCs/>
                <w:sz w:val="22"/>
                <w:szCs w:val="22"/>
              </w:rPr>
            </w:pPr>
            <w:r w:rsidRPr="00532822">
              <w:rPr>
                <w:i/>
                <w:iCs/>
                <w:sz w:val="22"/>
                <w:szCs w:val="22"/>
              </w:rPr>
              <w:t>wealth</w:t>
            </w:r>
          </w:p>
        </w:tc>
        <w:tc>
          <w:tcPr>
            <w:tcW w:w="1752" w:type="dxa"/>
            <w:tcBorders>
              <w:top w:val="double" w:sz="4" w:space="0" w:color="auto"/>
            </w:tcBorders>
          </w:tcPr>
          <w:p w14:paraId="3664D144" w14:textId="734E57B9" w:rsidR="00CE3EA9" w:rsidRPr="00532822" w:rsidRDefault="00CE3EA9" w:rsidP="00CA55C6">
            <w:pPr>
              <w:spacing w:line="360" w:lineRule="auto"/>
              <w:jc w:val="center"/>
              <w:rPr>
                <w:sz w:val="22"/>
                <w:szCs w:val="22"/>
              </w:rPr>
            </w:pPr>
            <w:r w:rsidRPr="00532822">
              <w:rPr>
                <w:sz w:val="22"/>
                <w:szCs w:val="22"/>
              </w:rPr>
              <w:t>44544,87</w:t>
            </w:r>
          </w:p>
        </w:tc>
        <w:tc>
          <w:tcPr>
            <w:tcW w:w="1523" w:type="dxa"/>
            <w:tcBorders>
              <w:top w:val="double" w:sz="4" w:space="0" w:color="auto"/>
            </w:tcBorders>
          </w:tcPr>
          <w:p w14:paraId="54BCE077" w14:textId="02A79D68" w:rsidR="00CE3EA9" w:rsidRPr="00532822" w:rsidRDefault="00CE3EA9" w:rsidP="00CA55C6">
            <w:pPr>
              <w:spacing w:line="360" w:lineRule="auto"/>
              <w:jc w:val="center"/>
              <w:rPr>
                <w:sz w:val="22"/>
                <w:szCs w:val="22"/>
              </w:rPr>
            </w:pPr>
            <w:r w:rsidRPr="00532822">
              <w:rPr>
                <w:sz w:val="22"/>
                <w:szCs w:val="22"/>
              </w:rPr>
              <w:t>17260,91</w:t>
            </w:r>
          </w:p>
        </w:tc>
        <w:tc>
          <w:tcPr>
            <w:tcW w:w="1187" w:type="dxa"/>
            <w:tcBorders>
              <w:top w:val="double" w:sz="4" w:space="0" w:color="auto"/>
            </w:tcBorders>
          </w:tcPr>
          <w:p w14:paraId="6CFC08FF" w14:textId="35B5CBFC" w:rsidR="00CE3EA9" w:rsidRPr="00532822" w:rsidRDefault="00CE3EA9" w:rsidP="00CA55C6">
            <w:pPr>
              <w:spacing w:line="360" w:lineRule="auto"/>
              <w:jc w:val="center"/>
              <w:rPr>
                <w:sz w:val="22"/>
                <w:szCs w:val="22"/>
              </w:rPr>
            </w:pPr>
            <w:r w:rsidRPr="00532822">
              <w:rPr>
                <w:sz w:val="22"/>
                <w:szCs w:val="22"/>
              </w:rPr>
              <w:t>125032,03</w:t>
            </w:r>
          </w:p>
        </w:tc>
        <w:tc>
          <w:tcPr>
            <w:tcW w:w="1566" w:type="dxa"/>
            <w:tcBorders>
              <w:top w:val="double" w:sz="4" w:space="0" w:color="auto"/>
            </w:tcBorders>
          </w:tcPr>
          <w:p w14:paraId="1BF221B0" w14:textId="1A5F411D" w:rsidR="00CE3EA9" w:rsidRPr="00532822" w:rsidRDefault="00CE3EA9" w:rsidP="00CA55C6">
            <w:pPr>
              <w:spacing w:line="360" w:lineRule="auto"/>
              <w:jc w:val="center"/>
              <w:rPr>
                <w:sz w:val="22"/>
                <w:szCs w:val="22"/>
              </w:rPr>
            </w:pPr>
            <w:r w:rsidRPr="00532822">
              <w:rPr>
                <w:sz w:val="22"/>
                <w:szCs w:val="22"/>
              </w:rPr>
              <w:t>0,00</w:t>
            </w:r>
          </w:p>
        </w:tc>
        <w:tc>
          <w:tcPr>
            <w:tcW w:w="1236" w:type="dxa"/>
            <w:tcBorders>
              <w:top w:val="double" w:sz="4" w:space="0" w:color="auto"/>
            </w:tcBorders>
          </w:tcPr>
          <w:p w14:paraId="33032AF0" w14:textId="5351C2B6" w:rsidR="00CE3EA9" w:rsidRPr="00532822" w:rsidRDefault="00CE3EA9" w:rsidP="00CA55C6">
            <w:pPr>
              <w:spacing w:line="360" w:lineRule="auto"/>
              <w:jc w:val="center"/>
              <w:rPr>
                <w:sz w:val="22"/>
                <w:szCs w:val="22"/>
              </w:rPr>
            </w:pPr>
            <w:r w:rsidRPr="00532822">
              <w:rPr>
                <w:sz w:val="22"/>
                <w:szCs w:val="22"/>
              </w:rPr>
              <w:t>2855000,00</w:t>
            </w:r>
          </w:p>
        </w:tc>
      </w:tr>
      <w:tr w:rsidR="00086A2F" w:rsidRPr="00532822" w14:paraId="741B6986" w14:textId="77777777" w:rsidTr="00532822">
        <w:trPr>
          <w:trHeight w:val="361"/>
        </w:trPr>
        <w:tc>
          <w:tcPr>
            <w:tcW w:w="1698" w:type="dxa"/>
          </w:tcPr>
          <w:p w14:paraId="32C64D0F" w14:textId="5395B6E2" w:rsidR="00CE3EA9" w:rsidRPr="00532822" w:rsidRDefault="00CE3EA9" w:rsidP="00F100AA">
            <w:pPr>
              <w:spacing w:line="360" w:lineRule="auto"/>
              <w:rPr>
                <w:i/>
                <w:iCs/>
                <w:sz w:val="22"/>
                <w:szCs w:val="22"/>
              </w:rPr>
            </w:pPr>
            <w:r w:rsidRPr="00532822">
              <w:rPr>
                <w:i/>
                <w:iCs/>
                <w:sz w:val="22"/>
                <w:szCs w:val="22"/>
              </w:rPr>
              <w:t>age</w:t>
            </w:r>
          </w:p>
        </w:tc>
        <w:tc>
          <w:tcPr>
            <w:tcW w:w="1752" w:type="dxa"/>
          </w:tcPr>
          <w:p w14:paraId="7C86FB48" w14:textId="1F885636" w:rsidR="00CE3EA9" w:rsidRPr="00532822" w:rsidRDefault="00CA55C6" w:rsidP="00CA55C6">
            <w:pPr>
              <w:spacing w:line="360" w:lineRule="auto"/>
              <w:jc w:val="center"/>
              <w:rPr>
                <w:sz w:val="22"/>
                <w:szCs w:val="22"/>
              </w:rPr>
            </w:pPr>
            <w:r w:rsidRPr="00532822">
              <w:rPr>
                <w:sz w:val="22"/>
                <w:szCs w:val="22"/>
              </w:rPr>
              <w:t>57,10</w:t>
            </w:r>
          </w:p>
        </w:tc>
        <w:tc>
          <w:tcPr>
            <w:tcW w:w="1523" w:type="dxa"/>
          </w:tcPr>
          <w:p w14:paraId="6162FA42" w14:textId="4C6025B7" w:rsidR="00CE3EA9" w:rsidRPr="00532822" w:rsidRDefault="00CA55C6" w:rsidP="00CA55C6">
            <w:pPr>
              <w:spacing w:line="360" w:lineRule="auto"/>
              <w:jc w:val="center"/>
              <w:rPr>
                <w:sz w:val="22"/>
                <w:szCs w:val="22"/>
              </w:rPr>
            </w:pPr>
            <w:r w:rsidRPr="00532822">
              <w:rPr>
                <w:sz w:val="22"/>
                <w:szCs w:val="22"/>
              </w:rPr>
              <w:t>58,00</w:t>
            </w:r>
          </w:p>
        </w:tc>
        <w:tc>
          <w:tcPr>
            <w:tcW w:w="1187" w:type="dxa"/>
          </w:tcPr>
          <w:p w14:paraId="2D278E9E" w14:textId="2777B05E" w:rsidR="00CE3EA9" w:rsidRPr="00532822" w:rsidRDefault="00CA55C6" w:rsidP="00CA55C6">
            <w:pPr>
              <w:spacing w:line="360" w:lineRule="auto"/>
              <w:jc w:val="center"/>
              <w:rPr>
                <w:sz w:val="22"/>
                <w:szCs w:val="22"/>
              </w:rPr>
            </w:pPr>
            <w:r w:rsidRPr="00532822">
              <w:rPr>
                <w:sz w:val="22"/>
                <w:szCs w:val="22"/>
              </w:rPr>
              <w:t>14,49</w:t>
            </w:r>
          </w:p>
        </w:tc>
        <w:tc>
          <w:tcPr>
            <w:tcW w:w="1566" w:type="dxa"/>
          </w:tcPr>
          <w:p w14:paraId="619718AA" w14:textId="1F93BDFE" w:rsidR="00CE3EA9" w:rsidRPr="00532822" w:rsidRDefault="00CA55C6" w:rsidP="00CA55C6">
            <w:pPr>
              <w:spacing w:line="360" w:lineRule="auto"/>
              <w:jc w:val="center"/>
              <w:rPr>
                <w:sz w:val="22"/>
                <w:szCs w:val="22"/>
              </w:rPr>
            </w:pPr>
            <w:r w:rsidRPr="00532822">
              <w:rPr>
                <w:sz w:val="22"/>
                <w:szCs w:val="22"/>
              </w:rPr>
              <w:t>18,00</w:t>
            </w:r>
          </w:p>
        </w:tc>
        <w:tc>
          <w:tcPr>
            <w:tcW w:w="1236" w:type="dxa"/>
          </w:tcPr>
          <w:p w14:paraId="7C9A26B8" w14:textId="01EC6AF4" w:rsidR="00CE3EA9" w:rsidRPr="00532822" w:rsidRDefault="00CA55C6" w:rsidP="00CA55C6">
            <w:pPr>
              <w:spacing w:line="360" w:lineRule="auto"/>
              <w:jc w:val="center"/>
              <w:rPr>
                <w:sz w:val="22"/>
                <w:szCs w:val="22"/>
              </w:rPr>
            </w:pPr>
            <w:r w:rsidRPr="00532822">
              <w:rPr>
                <w:sz w:val="22"/>
                <w:szCs w:val="22"/>
              </w:rPr>
              <w:t>93,00</w:t>
            </w:r>
          </w:p>
        </w:tc>
      </w:tr>
      <w:tr w:rsidR="00086A2F" w:rsidRPr="00532822" w14:paraId="31C9013B" w14:textId="77777777" w:rsidTr="00532822">
        <w:trPr>
          <w:trHeight w:val="373"/>
        </w:trPr>
        <w:tc>
          <w:tcPr>
            <w:tcW w:w="1698" w:type="dxa"/>
          </w:tcPr>
          <w:p w14:paraId="5AAC1CE2" w14:textId="2DCD5356" w:rsidR="00CE3EA9" w:rsidRPr="00532822" w:rsidRDefault="00CE3EA9" w:rsidP="00F100AA">
            <w:pPr>
              <w:spacing w:line="360" w:lineRule="auto"/>
              <w:rPr>
                <w:i/>
                <w:iCs/>
                <w:sz w:val="22"/>
                <w:szCs w:val="22"/>
              </w:rPr>
            </w:pPr>
            <w:r w:rsidRPr="00532822">
              <w:rPr>
                <w:i/>
                <w:iCs/>
                <w:sz w:val="22"/>
                <w:szCs w:val="22"/>
              </w:rPr>
              <w:t>income</w:t>
            </w:r>
          </w:p>
        </w:tc>
        <w:tc>
          <w:tcPr>
            <w:tcW w:w="1752" w:type="dxa"/>
          </w:tcPr>
          <w:p w14:paraId="17DCF6D3" w14:textId="7165C23F" w:rsidR="00CE3EA9" w:rsidRPr="00532822" w:rsidRDefault="00CA55C6" w:rsidP="00CA55C6">
            <w:pPr>
              <w:spacing w:line="360" w:lineRule="auto"/>
              <w:jc w:val="center"/>
              <w:rPr>
                <w:sz w:val="22"/>
                <w:szCs w:val="22"/>
              </w:rPr>
            </w:pPr>
            <w:r w:rsidRPr="00532822">
              <w:rPr>
                <w:sz w:val="22"/>
                <w:szCs w:val="22"/>
              </w:rPr>
              <w:t>28116,15</w:t>
            </w:r>
          </w:p>
        </w:tc>
        <w:tc>
          <w:tcPr>
            <w:tcW w:w="1523" w:type="dxa"/>
          </w:tcPr>
          <w:p w14:paraId="12F5C5A3" w14:textId="65CFD686" w:rsidR="00CE3EA9" w:rsidRPr="00532822" w:rsidRDefault="00CA55C6" w:rsidP="00CA55C6">
            <w:pPr>
              <w:spacing w:line="360" w:lineRule="auto"/>
              <w:jc w:val="center"/>
              <w:rPr>
                <w:sz w:val="22"/>
                <w:szCs w:val="22"/>
              </w:rPr>
            </w:pPr>
            <w:r w:rsidRPr="00532822">
              <w:rPr>
                <w:sz w:val="22"/>
                <w:szCs w:val="22"/>
              </w:rPr>
              <w:t>27</w:t>
            </w:r>
            <w:r w:rsidR="00086A2F" w:rsidRPr="00532822">
              <w:rPr>
                <w:sz w:val="22"/>
                <w:szCs w:val="22"/>
              </w:rPr>
              <w:t>549,51</w:t>
            </w:r>
          </w:p>
        </w:tc>
        <w:tc>
          <w:tcPr>
            <w:tcW w:w="1187" w:type="dxa"/>
          </w:tcPr>
          <w:p w14:paraId="79ABAE8A" w14:textId="3ECAB1AC" w:rsidR="00CE3EA9" w:rsidRPr="00532822" w:rsidRDefault="00086A2F" w:rsidP="00CA55C6">
            <w:pPr>
              <w:spacing w:line="360" w:lineRule="auto"/>
              <w:jc w:val="center"/>
              <w:rPr>
                <w:sz w:val="22"/>
                <w:szCs w:val="22"/>
              </w:rPr>
            </w:pPr>
            <w:r w:rsidRPr="00532822">
              <w:rPr>
                <w:sz w:val="22"/>
                <w:szCs w:val="22"/>
              </w:rPr>
              <w:t>26576,90</w:t>
            </w:r>
          </w:p>
        </w:tc>
        <w:tc>
          <w:tcPr>
            <w:tcW w:w="1566" w:type="dxa"/>
          </w:tcPr>
          <w:p w14:paraId="4A53EA67" w14:textId="652F4761" w:rsidR="00CE3EA9" w:rsidRPr="00532822" w:rsidRDefault="00086A2F" w:rsidP="00CA55C6">
            <w:pPr>
              <w:spacing w:line="360" w:lineRule="auto"/>
              <w:jc w:val="center"/>
              <w:rPr>
                <w:sz w:val="22"/>
                <w:szCs w:val="22"/>
              </w:rPr>
            </w:pPr>
            <w:r w:rsidRPr="00532822">
              <w:rPr>
                <w:sz w:val="22"/>
                <w:szCs w:val="22"/>
              </w:rPr>
              <w:t>0,00</w:t>
            </w:r>
          </w:p>
        </w:tc>
        <w:tc>
          <w:tcPr>
            <w:tcW w:w="1236" w:type="dxa"/>
          </w:tcPr>
          <w:p w14:paraId="10545E71" w14:textId="0AD318BD" w:rsidR="00CE3EA9" w:rsidRPr="00532822" w:rsidRDefault="00086A2F" w:rsidP="00CA55C6">
            <w:pPr>
              <w:spacing w:line="360" w:lineRule="auto"/>
              <w:jc w:val="center"/>
              <w:rPr>
                <w:sz w:val="22"/>
                <w:szCs w:val="22"/>
              </w:rPr>
            </w:pPr>
            <w:r w:rsidRPr="00532822">
              <w:rPr>
                <w:sz w:val="22"/>
                <w:szCs w:val="22"/>
              </w:rPr>
              <w:t>579583,97</w:t>
            </w:r>
          </w:p>
        </w:tc>
      </w:tr>
      <w:tr w:rsidR="00086A2F" w:rsidRPr="00532822" w14:paraId="2105052B" w14:textId="77777777" w:rsidTr="00532822">
        <w:trPr>
          <w:trHeight w:val="361"/>
        </w:trPr>
        <w:tc>
          <w:tcPr>
            <w:tcW w:w="1698" w:type="dxa"/>
          </w:tcPr>
          <w:p w14:paraId="0741091B" w14:textId="3B2B0F4A" w:rsidR="00CE3EA9" w:rsidRPr="00532822" w:rsidRDefault="00CE3EA9" w:rsidP="00F100AA">
            <w:pPr>
              <w:spacing w:line="360" w:lineRule="auto"/>
              <w:rPr>
                <w:i/>
                <w:iCs/>
                <w:sz w:val="22"/>
                <w:szCs w:val="22"/>
              </w:rPr>
            </w:pPr>
            <w:r w:rsidRPr="00532822">
              <w:rPr>
                <w:i/>
                <w:iCs/>
                <w:sz w:val="22"/>
                <w:szCs w:val="22"/>
              </w:rPr>
              <w:t>gender*</w:t>
            </w:r>
          </w:p>
        </w:tc>
        <w:tc>
          <w:tcPr>
            <w:tcW w:w="1752" w:type="dxa"/>
          </w:tcPr>
          <w:p w14:paraId="65070E06" w14:textId="4D00557B" w:rsidR="00CE3EA9" w:rsidRPr="00532822" w:rsidRDefault="00086A2F" w:rsidP="00CA55C6">
            <w:pPr>
              <w:spacing w:line="360" w:lineRule="auto"/>
              <w:jc w:val="center"/>
              <w:rPr>
                <w:sz w:val="22"/>
                <w:szCs w:val="22"/>
              </w:rPr>
            </w:pPr>
            <w:r w:rsidRPr="00532822">
              <w:rPr>
                <w:sz w:val="22"/>
                <w:szCs w:val="22"/>
              </w:rPr>
              <w:t>0,79</w:t>
            </w:r>
          </w:p>
        </w:tc>
        <w:tc>
          <w:tcPr>
            <w:tcW w:w="1523" w:type="dxa"/>
          </w:tcPr>
          <w:p w14:paraId="5AB1E561" w14:textId="6FA079A6" w:rsidR="00CE3EA9" w:rsidRPr="00532822" w:rsidRDefault="00086A2F" w:rsidP="00CA55C6">
            <w:pPr>
              <w:spacing w:line="360" w:lineRule="auto"/>
              <w:jc w:val="center"/>
              <w:rPr>
                <w:sz w:val="22"/>
                <w:szCs w:val="22"/>
              </w:rPr>
            </w:pPr>
            <w:r w:rsidRPr="00532822">
              <w:rPr>
                <w:sz w:val="22"/>
                <w:szCs w:val="22"/>
              </w:rPr>
              <w:t>1,00</w:t>
            </w:r>
          </w:p>
        </w:tc>
        <w:tc>
          <w:tcPr>
            <w:tcW w:w="1187" w:type="dxa"/>
          </w:tcPr>
          <w:p w14:paraId="75B994F9" w14:textId="4C6B38D4" w:rsidR="00CE3EA9" w:rsidRPr="00532822" w:rsidRDefault="00086A2F" w:rsidP="00CA55C6">
            <w:pPr>
              <w:spacing w:line="360" w:lineRule="auto"/>
              <w:jc w:val="center"/>
              <w:rPr>
                <w:sz w:val="22"/>
                <w:szCs w:val="22"/>
              </w:rPr>
            </w:pPr>
            <w:r w:rsidRPr="00532822">
              <w:rPr>
                <w:sz w:val="22"/>
                <w:szCs w:val="22"/>
              </w:rPr>
              <w:t>0,40</w:t>
            </w:r>
          </w:p>
        </w:tc>
        <w:tc>
          <w:tcPr>
            <w:tcW w:w="1566" w:type="dxa"/>
          </w:tcPr>
          <w:p w14:paraId="6B951362" w14:textId="486FF2BC" w:rsidR="00CE3EA9" w:rsidRPr="00532822" w:rsidRDefault="00086A2F" w:rsidP="00CA55C6">
            <w:pPr>
              <w:spacing w:line="360" w:lineRule="auto"/>
              <w:jc w:val="center"/>
              <w:rPr>
                <w:sz w:val="22"/>
                <w:szCs w:val="22"/>
              </w:rPr>
            </w:pPr>
            <w:r w:rsidRPr="00532822">
              <w:rPr>
                <w:sz w:val="22"/>
                <w:szCs w:val="22"/>
              </w:rPr>
              <w:t>0</w:t>
            </w:r>
          </w:p>
        </w:tc>
        <w:tc>
          <w:tcPr>
            <w:tcW w:w="1236" w:type="dxa"/>
          </w:tcPr>
          <w:p w14:paraId="51158B6A" w14:textId="09BFE859" w:rsidR="00CE3EA9" w:rsidRPr="00532822" w:rsidRDefault="00086A2F" w:rsidP="00CA55C6">
            <w:pPr>
              <w:spacing w:line="360" w:lineRule="auto"/>
              <w:jc w:val="center"/>
              <w:rPr>
                <w:sz w:val="22"/>
                <w:szCs w:val="22"/>
              </w:rPr>
            </w:pPr>
            <w:r w:rsidRPr="00532822">
              <w:rPr>
                <w:sz w:val="22"/>
                <w:szCs w:val="22"/>
              </w:rPr>
              <w:t>1</w:t>
            </w:r>
          </w:p>
        </w:tc>
      </w:tr>
      <w:tr w:rsidR="00086A2F" w:rsidRPr="00532822" w14:paraId="456060D8" w14:textId="77777777" w:rsidTr="00532822">
        <w:trPr>
          <w:trHeight w:val="373"/>
        </w:trPr>
        <w:tc>
          <w:tcPr>
            <w:tcW w:w="1698" w:type="dxa"/>
          </w:tcPr>
          <w:p w14:paraId="58A415DE" w14:textId="21C9ED22" w:rsidR="00CE3EA9" w:rsidRPr="00532822" w:rsidRDefault="00CE3EA9" w:rsidP="00F100AA">
            <w:pPr>
              <w:spacing w:line="360" w:lineRule="auto"/>
              <w:rPr>
                <w:i/>
                <w:iCs/>
                <w:sz w:val="22"/>
                <w:szCs w:val="22"/>
              </w:rPr>
            </w:pPr>
            <w:r w:rsidRPr="00532822">
              <w:rPr>
                <w:i/>
                <w:iCs/>
                <w:sz w:val="22"/>
                <w:szCs w:val="22"/>
              </w:rPr>
              <w:t>education*</w:t>
            </w:r>
          </w:p>
        </w:tc>
        <w:tc>
          <w:tcPr>
            <w:tcW w:w="1752" w:type="dxa"/>
          </w:tcPr>
          <w:p w14:paraId="29E7B7EC" w14:textId="0A5F0EB4" w:rsidR="00CE3EA9" w:rsidRPr="00532822" w:rsidRDefault="00086A2F" w:rsidP="00CA55C6">
            <w:pPr>
              <w:spacing w:line="360" w:lineRule="auto"/>
              <w:jc w:val="center"/>
              <w:rPr>
                <w:sz w:val="22"/>
                <w:szCs w:val="22"/>
              </w:rPr>
            </w:pPr>
            <w:r w:rsidRPr="00532822">
              <w:rPr>
                <w:sz w:val="22"/>
                <w:szCs w:val="22"/>
              </w:rPr>
              <w:t>0,240</w:t>
            </w:r>
          </w:p>
        </w:tc>
        <w:tc>
          <w:tcPr>
            <w:tcW w:w="1523" w:type="dxa"/>
          </w:tcPr>
          <w:p w14:paraId="39879D25" w14:textId="1DBECB5A" w:rsidR="00CE3EA9" w:rsidRPr="00532822" w:rsidRDefault="00086A2F" w:rsidP="00CA55C6">
            <w:pPr>
              <w:spacing w:line="360" w:lineRule="auto"/>
              <w:jc w:val="center"/>
              <w:rPr>
                <w:sz w:val="22"/>
                <w:szCs w:val="22"/>
              </w:rPr>
            </w:pPr>
            <w:r w:rsidRPr="00532822">
              <w:rPr>
                <w:sz w:val="22"/>
                <w:szCs w:val="22"/>
              </w:rPr>
              <w:t>0,00</w:t>
            </w:r>
          </w:p>
        </w:tc>
        <w:tc>
          <w:tcPr>
            <w:tcW w:w="1187" w:type="dxa"/>
          </w:tcPr>
          <w:p w14:paraId="22A46810" w14:textId="3F5680EA" w:rsidR="00CE3EA9" w:rsidRPr="00532822" w:rsidRDefault="00086A2F" w:rsidP="00CA55C6">
            <w:pPr>
              <w:spacing w:line="360" w:lineRule="auto"/>
              <w:jc w:val="center"/>
              <w:rPr>
                <w:sz w:val="22"/>
                <w:szCs w:val="22"/>
              </w:rPr>
            </w:pPr>
            <w:r w:rsidRPr="00532822">
              <w:rPr>
                <w:sz w:val="22"/>
                <w:szCs w:val="22"/>
              </w:rPr>
              <w:t>0,43</w:t>
            </w:r>
          </w:p>
        </w:tc>
        <w:tc>
          <w:tcPr>
            <w:tcW w:w="1566" w:type="dxa"/>
          </w:tcPr>
          <w:p w14:paraId="1838FC91" w14:textId="22414DD7" w:rsidR="00CE3EA9" w:rsidRPr="00532822" w:rsidRDefault="00086A2F" w:rsidP="00CA55C6">
            <w:pPr>
              <w:spacing w:line="360" w:lineRule="auto"/>
              <w:jc w:val="center"/>
              <w:rPr>
                <w:sz w:val="22"/>
                <w:szCs w:val="22"/>
              </w:rPr>
            </w:pPr>
            <w:r w:rsidRPr="00532822">
              <w:rPr>
                <w:sz w:val="22"/>
                <w:szCs w:val="22"/>
              </w:rPr>
              <w:t>0</w:t>
            </w:r>
          </w:p>
        </w:tc>
        <w:tc>
          <w:tcPr>
            <w:tcW w:w="1236" w:type="dxa"/>
          </w:tcPr>
          <w:p w14:paraId="5D3DF67B" w14:textId="3E53EABA" w:rsidR="00CE3EA9" w:rsidRPr="00532822" w:rsidRDefault="00086A2F" w:rsidP="00CA55C6">
            <w:pPr>
              <w:spacing w:line="360" w:lineRule="auto"/>
              <w:jc w:val="center"/>
              <w:rPr>
                <w:sz w:val="22"/>
                <w:szCs w:val="22"/>
              </w:rPr>
            </w:pPr>
            <w:r w:rsidRPr="00532822">
              <w:rPr>
                <w:sz w:val="22"/>
                <w:szCs w:val="22"/>
              </w:rPr>
              <w:t>1</w:t>
            </w:r>
          </w:p>
        </w:tc>
      </w:tr>
      <w:tr w:rsidR="00086A2F" w:rsidRPr="00532822" w14:paraId="50549506" w14:textId="77777777" w:rsidTr="00532822">
        <w:trPr>
          <w:trHeight w:val="361"/>
        </w:trPr>
        <w:tc>
          <w:tcPr>
            <w:tcW w:w="1698" w:type="dxa"/>
          </w:tcPr>
          <w:p w14:paraId="1D701E4E" w14:textId="5E2E6502" w:rsidR="00CE3EA9" w:rsidRPr="00532822" w:rsidRDefault="00CE3EA9" w:rsidP="00F100AA">
            <w:pPr>
              <w:spacing w:line="360" w:lineRule="auto"/>
              <w:rPr>
                <w:i/>
                <w:iCs/>
                <w:sz w:val="22"/>
                <w:szCs w:val="22"/>
              </w:rPr>
            </w:pPr>
            <w:r w:rsidRPr="00532822">
              <w:rPr>
                <w:i/>
                <w:iCs/>
                <w:sz w:val="22"/>
                <w:szCs w:val="22"/>
              </w:rPr>
              <w:t xml:space="preserve">accommodation* </w:t>
            </w:r>
          </w:p>
        </w:tc>
        <w:tc>
          <w:tcPr>
            <w:tcW w:w="1752" w:type="dxa"/>
          </w:tcPr>
          <w:p w14:paraId="71475606" w14:textId="38071DDC" w:rsidR="00CE3EA9" w:rsidRPr="00532822" w:rsidRDefault="00086A2F" w:rsidP="00CA55C6">
            <w:pPr>
              <w:spacing w:line="360" w:lineRule="auto"/>
              <w:jc w:val="center"/>
              <w:rPr>
                <w:sz w:val="22"/>
                <w:szCs w:val="22"/>
              </w:rPr>
            </w:pPr>
            <w:r w:rsidRPr="00532822">
              <w:rPr>
                <w:sz w:val="22"/>
                <w:szCs w:val="22"/>
              </w:rPr>
              <w:t>0,893</w:t>
            </w:r>
          </w:p>
        </w:tc>
        <w:tc>
          <w:tcPr>
            <w:tcW w:w="1523" w:type="dxa"/>
          </w:tcPr>
          <w:p w14:paraId="58BC0D27" w14:textId="2F2315DD" w:rsidR="00CE3EA9" w:rsidRPr="00532822" w:rsidRDefault="00086A2F" w:rsidP="00CA55C6">
            <w:pPr>
              <w:spacing w:line="360" w:lineRule="auto"/>
              <w:jc w:val="center"/>
              <w:rPr>
                <w:sz w:val="22"/>
                <w:szCs w:val="22"/>
              </w:rPr>
            </w:pPr>
            <w:r w:rsidRPr="00532822">
              <w:rPr>
                <w:sz w:val="22"/>
                <w:szCs w:val="22"/>
              </w:rPr>
              <w:t>1,00</w:t>
            </w:r>
          </w:p>
        </w:tc>
        <w:tc>
          <w:tcPr>
            <w:tcW w:w="1187" w:type="dxa"/>
          </w:tcPr>
          <w:p w14:paraId="41517D71" w14:textId="6A9798BE" w:rsidR="00CE3EA9" w:rsidRPr="00532822" w:rsidRDefault="00086A2F" w:rsidP="00CA55C6">
            <w:pPr>
              <w:spacing w:line="360" w:lineRule="auto"/>
              <w:jc w:val="center"/>
              <w:rPr>
                <w:sz w:val="22"/>
                <w:szCs w:val="22"/>
              </w:rPr>
            </w:pPr>
            <w:r w:rsidRPr="00532822">
              <w:rPr>
                <w:sz w:val="22"/>
                <w:szCs w:val="22"/>
              </w:rPr>
              <w:t>0,31</w:t>
            </w:r>
          </w:p>
        </w:tc>
        <w:tc>
          <w:tcPr>
            <w:tcW w:w="1566" w:type="dxa"/>
          </w:tcPr>
          <w:p w14:paraId="6E461D95" w14:textId="386EDBC0" w:rsidR="00CE3EA9" w:rsidRPr="00532822" w:rsidRDefault="00086A2F" w:rsidP="00CA55C6">
            <w:pPr>
              <w:spacing w:line="360" w:lineRule="auto"/>
              <w:jc w:val="center"/>
              <w:rPr>
                <w:sz w:val="22"/>
                <w:szCs w:val="22"/>
              </w:rPr>
            </w:pPr>
            <w:r w:rsidRPr="00532822">
              <w:rPr>
                <w:sz w:val="22"/>
                <w:szCs w:val="22"/>
              </w:rPr>
              <w:t>0</w:t>
            </w:r>
          </w:p>
        </w:tc>
        <w:tc>
          <w:tcPr>
            <w:tcW w:w="1236" w:type="dxa"/>
          </w:tcPr>
          <w:p w14:paraId="12E9CC8D" w14:textId="3460AF32" w:rsidR="00CE3EA9" w:rsidRPr="00532822" w:rsidRDefault="00086A2F" w:rsidP="00CA55C6">
            <w:pPr>
              <w:spacing w:line="360" w:lineRule="auto"/>
              <w:jc w:val="center"/>
              <w:rPr>
                <w:sz w:val="22"/>
                <w:szCs w:val="22"/>
              </w:rPr>
            </w:pPr>
            <w:r w:rsidRPr="00532822">
              <w:rPr>
                <w:sz w:val="22"/>
                <w:szCs w:val="22"/>
              </w:rPr>
              <w:t>1</w:t>
            </w:r>
          </w:p>
        </w:tc>
      </w:tr>
      <w:tr w:rsidR="00086A2F" w:rsidRPr="00532822" w14:paraId="0C660CCA" w14:textId="77777777" w:rsidTr="00532822">
        <w:trPr>
          <w:trHeight w:val="361"/>
        </w:trPr>
        <w:tc>
          <w:tcPr>
            <w:tcW w:w="1698" w:type="dxa"/>
            <w:tcBorders>
              <w:bottom w:val="double" w:sz="4" w:space="0" w:color="auto"/>
            </w:tcBorders>
          </w:tcPr>
          <w:p w14:paraId="57E5D5DA" w14:textId="702072B4" w:rsidR="00CE3EA9" w:rsidRPr="00532822" w:rsidRDefault="00CE3EA9" w:rsidP="00F100AA">
            <w:pPr>
              <w:spacing w:line="360" w:lineRule="auto"/>
              <w:rPr>
                <w:i/>
                <w:iCs/>
                <w:sz w:val="22"/>
                <w:szCs w:val="22"/>
              </w:rPr>
            </w:pPr>
            <w:r w:rsidRPr="00532822">
              <w:rPr>
                <w:i/>
                <w:iCs/>
                <w:sz w:val="22"/>
                <w:szCs w:val="22"/>
              </w:rPr>
              <w:t>partner*</w:t>
            </w:r>
          </w:p>
        </w:tc>
        <w:tc>
          <w:tcPr>
            <w:tcW w:w="1752" w:type="dxa"/>
            <w:tcBorders>
              <w:bottom w:val="double" w:sz="4" w:space="0" w:color="auto"/>
            </w:tcBorders>
          </w:tcPr>
          <w:p w14:paraId="274A01C2" w14:textId="2EA29DD7" w:rsidR="00CE3EA9" w:rsidRPr="00532822" w:rsidRDefault="00086A2F" w:rsidP="00CA55C6">
            <w:pPr>
              <w:spacing w:line="360" w:lineRule="auto"/>
              <w:jc w:val="center"/>
              <w:rPr>
                <w:sz w:val="22"/>
                <w:szCs w:val="22"/>
              </w:rPr>
            </w:pPr>
            <w:r w:rsidRPr="00532822">
              <w:rPr>
                <w:sz w:val="22"/>
                <w:szCs w:val="22"/>
              </w:rPr>
              <w:t>0,783</w:t>
            </w:r>
          </w:p>
        </w:tc>
        <w:tc>
          <w:tcPr>
            <w:tcW w:w="1523" w:type="dxa"/>
            <w:tcBorders>
              <w:bottom w:val="double" w:sz="4" w:space="0" w:color="auto"/>
            </w:tcBorders>
          </w:tcPr>
          <w:p w14:paraId="5D324917" w14:textId="322F603F" w:rsidR="00CE3EA9" w:rsidRPr="00532822" w:rsidRDefault="00086A2F" w:rsidP="00CA55C6">
            <w:pPr>
              <w:spacing w:line="360" w:lineRule="auto"/>
              <w:jc w:val="center"/>
              <w:rPr>
                <w:sz w:val="22"/>
                <w:szCs w:val="22"/>
              </w:rPr>
            </w:pPr>
            <w:r w:rsidRPr="00532822">
              <w:rPr>
                <w:sz w:val="22"/>
                <w:szCs w:val="22"/>
              </w:rPr>
              <w:t>1,00</w:t>
            </w:r>
          </w:p>
        </w:tc>
        <w:tc>
          <w:tcPr>
            <w:tcW w:w="1187" w:type="dxa"/>
            <w:tcBorders>
              <w:bottom w:val="double" w:sz="4" w:space="0" w:color="auto"/>
            </w:tcBorders>
          </w:tcPr>
          <w:p w14:paraId="6D2ADA7C" w14:textId="57EAD7A7" w:rsidR="00CE3EA9" w:rsidRPr="00532822" w:rsidRDefault="00086A2F" w:rsidP="00CA55C6">
            <w:pPr>
              <w:spacing w:line="360" w:lineRule="auto"/>
              <w:jc w:val="center"/>
              <w:rPr>
                <w:sz w:val="22"/>
                <w:szCs w:val="22"/>
              </w:rPr>
            </w:pPr>
            <w:r w:rsidRPr="00532822">
              <w:rPr>
                <w:sz w:val="22"/>
                <w:szCs w:val="22"/>
              </w:rPr>
              <w:t>0,412</w:t>
            </w:r>
          </w:p>
        </w:tc>
        <w:tc>
          <w:tcPr>
            <w:tcW w:w="1566" w:type="dxa"/>
            <w:tcBorders>
              <w:bottom w:val="double" w:sz="4" w:space="0" w:color="auto"/>
            </w:tcBorders>
          </w:tcPr>
          <w:p w14:paraId="200CACCD" w14:textId="09A5CB24" w:rsidR="00CE3EA9" w:rsidRPr="00532822" w:rsidRDefault="00086A2F" w:rsidP="00CA55C6">
            <w:pPr>
              <w:spacing w:line="360" w:lineRule="auto"/>
              <w:jc w:val="center"/>
              <w:rPr>
                <w:sz w:val="22"/>
                <w:szCs w:val="22"/>
              </w:rPr>
            </w:pPr>
            <w:r w:rsidRPr="00532822">
              <w:rPr>
                <w:sz w:val="22"/>
                <w:szCs w:val="22"/>
              </w:rPr>
              <w:t>0</w:t>
            </w:r>
          </w:p>
        </w:tc>
        <w:tc>
          <w:tcPr>
            <w:tcW w:w="1236" w:type="dxa"/>
            <w:tcBorders>
              <w:bottom w:val="double" w:sz="4" w:space="0" w:color="auto"/>
            </w:tcBorders>
          </w:tcPr>
          <w:p w14:paraId="214E01BA" w14:textId="7C2DF1E5" w:rsidR="00CE3EA9" w:rsidRPr="00532822" w:rsidRDefault="00086A2F" w:rsidP="00CA55C6">
            <w:pPr>
              <w:spacing w:line="360" w:lineRule="auto"/>
              <w:jc w:val="center"/>
              <w:rPr>
                <w:sz w:val="22"/>
                <w:szCs w:val="22"/>
              </w:rPr>
            </w:pPr>
            <w:r w:rsidRPr="00532822">
              <w:rPr>
                <w:sz w:val="22"/>
                <w:szCs w:val="22"/>
              </w:rPr>
              <w:t>1</w:t>
            </w:r>
          </w:p>
        </w:tc>
      </w:tr>
    </w:tbl>
    <w:p w14:paraId="283F877B" w14:textId="75F9A15B" w:rsidR="001B17E3" w:rsidRPr="00532822" w:rsidRDefault="00DF2BE3" w:rsidP="00F100AA">
      <w:pPr>
        <w:spacing w:line="360" w:lineRule="auto"/>
        <w:rPr>
          <w:i/>
          <w:iCs/>
          <w:sz w:val="22"/>
          <w:szCs w:val="22"/>
        </w:rPr>
      </w:pPr>
      <w:r w:rsidRPr="00532822">
        <w:rPr>
          <w:sz w:val="22"/>
          <w:szCs w:val="22"/>
        </w:rPr>
        <w:t>*</w:t>
      </w:r>
      <w:r w:rsidRPr="00532822">
        <w:t xml:space="preserve"> </w:t>
      </w:r>
      <w:r w:rsidR="003F652B" w:rsidRPr="00532822">
        <w:rPr>
          <w:i/>
          <w:iCs/>
          <w:sz w:val="22"/>
          <w:szCs w:val="22"/>
        </w:rPr>
        <w:t>Binary</w:t>
      </w:r>
      <w:r w:rsidR="00CE3EA9" w:rsidRPr="00532822">
        <w:rPr>
          <w:i/>
          <w:iCs/>
          <w:sz w:val="22"/>
          <w:szCs w:val="22"/>
        </w:rPr>
        <w:t xml:space="preserve"> variable </w:t>
      </w:r>
      <w:r w:rsidR="00CE3EA9" w:rsidRPr="00532822">
        <w:rPr>
          <w:i/>
          <w:iCs/>
          <w:sz w:val="22"/>
          <w:szCs w:val="22"/>
        </w:rPr>
        <w:tab/>
      </w:r>
      <w:r w:rsidR="00CE3EA9" w:rsidRPr="00532822">
        <w:rPr>
          <w:i/>
          <w:iCs/>
          <w:sz w:val="22"/>
          <w:szCs w:val="22"/>
        </w:rPr>
        <w:tab/>
      </w:r>
      <w:r w:rsidR="00086A2F" w:rsidRPr="00532822">
        <w:rPr>
          <w:i/>
          <w:iCs/>
          <w:sz w:val="22"/>
          <w:szCs w:val="22"/>
        </w:rPr>
        <w:tab/>
      </w:r>
      <w:r w:rsidR="00086A2F" w:rsidRPr="00532822">
        <w:rPr>
          <w:i/>
          <w:iCs/>
          <w:sz w:val="22"/>
          <w:szCs w:val="22"/>
        </w:rPr>
        <w:tab/>
      </w:r>
      <w:r w:rsidR="00086A2F" w:rsidRPr="00532822">
        <w:rPr>
          <w:i/>
          <w:iCs/>
          <w:sz w:val="22"/>
          <w:szCs w:val="22"/>
        </w:rPr>
        <w:tab/>
      </w:r>
      <w:r w:rsidR="00086A2F" w:rsidRPr="00532822">
        <w:rPr>
          <w:i/>
          <w:iCs/>
          <w:sz w:val="22"/>
          <w:szCs w:val="22"/>
        </w:rPr>
        <w:tab/>
      </w:r>
      <w:r w:rsidR="00086A2F" w:rsidRPr="00532822">
        <w:rPr>
          <w:i/>
          <w:iCs/>
          <w:sz w:val="22"/>
          <w:szCs w:val="22"/>
        </w:rPr>
        <w:tab/>
      </w:r>
      <w:r w:rsidR="00086A2F" w:rsidRPr="00532822">
        <w:rPr>
          <w:i/>
          <w:iCs/>
          <w:sz w:val="22"/>
          <w:szCs w:val="22"/>
        </w:rPr>
        <w:tab/>
        <w:t xml:space="preserve">       </w:t>
      </w:r>
      <w:r w:rsidR="00CE3EA9" w:rsidRPr="00532822">
        <w:rPr>
          <w:i/>
          <w:iCs/>
          <w:sz w:val="22"/>
          <w:szCs w:val="22"/>
        </w:rPr>
        <w:t>Count = 1963</w:t>
      </w:r>
    </w:p>
    <w:p w14:paraId="140D7A8F" w14:textId="77777777" w:rsidR="00F100AA" w:rsidRDefault="00F100AA" w:rsidP="00F100AA">
      <w:pPr>
        <w:spacing w:line="360" w:lineRule="auto"/>
      </w:pPr>
    </w:p>
    <w:p w14:paraId="64237047" w14:textId="08C4AC26" w:rsidR="00F100AA" w:rsidRDefault="00F100AA" w:rsidP="00F100AA">
      <w:pPr>
        <w:spacing w:line="360" w:lineRule="auto"/>
      </w:pPr>
      <w:r>
        <w:t xml:space="preserve">In order to answer the question that this research has as title, the selected statistical method was regression analysis. This statistical process available in most statistics-oriented software, is commonly used in many fields, including finance, social sciences, or machine learning, to name a few. Its broad use is based on its capability for identifying and characterizing relationships between a dependent variable and one, or multiple, independent variable (in </w:t>
      </w:r>
      <w:r>
        <w:lastRenderedPageBreak/>
        <w:t xml:space="preserve">some occasions referred as predictors) (Schneider, </w:t>
      </w:r>
      <w:proofErr w:type="spellStart"/>
      <w:r>
        <w:t>Hommel</w:t>
      </w:r>
      <w:proofErr w:type="spellEnd"/>
      <w:r>
        <w:t xml:space="preserve"> &amp; </w:t>
      </w:r>
      <w:proofErr w:type="spellStart"/>
      <w:r>
        <w:t>Blettner</w:t>
      </w:r>
      <w:proofErr w:type="spellEnd"/>
      <w:r>
        <w:t xml:space="preserve">, 2010). Furthermore, as a results of such method, we are able to draw conclusions based on the coefficients for each one of the predictors in relation to the dependent variable, and on the p-values for both kinds of variables. The former, represents the multipliers </w:t>
      </w:r>
      <w:r w:rsidR="00B36C98">
        <w:t>from</w:t>
      </w:r>
      <w:r>
        <w:t xml:space="preserve"> predictor</w:t>
      </w:r>
      <w:r w:rsidR="00B36C98">
        <w:t>s</w:t>
      </w:r>
      <w:r>
        <w:t xml:space="preserve"> on the dependent variable (Hamilton, </w:t>
      </w:r>
      <w:proofErr w:type="spellStart"/>
      <w:r>
        <w:t>Ghert</w:t>
      </w:r>
      <w:proofErr w:type="spellEnd"/>
      <w:r>
        <w:t xml:space="preserve"> &amp; Simpson, 2015). Moreover, the coefficients are then used as </w:t>
      </w:r>
      <w:r>
        <w:sym w:font="Symbol" w:char="F062"/>
      </w:r>
      <w:r>
        <w:t xml:space="preserve"> for each one of the variables in the </w:t>
      </w:r>
      <w:r w:rsidR="00C86825">
        <w:t>model</w:t>
      </w:r>
      <w:r>
        <w:t xml:space="preserve"> equation, depicted in subchapter </w:t>
      </w:r>
      <w:r w:rsidR="00C86825">
        <w:t>2</w:t>
      </w:r>
      <w:r>
        <w:t xml:space="preserve">.3. The latter dictates whether the aforementioned </w:t>
      </w:r>
      <w:r w:rsidR="00B36C98">
        <w:t>association</w:t>
      </w:r>
      <w:r>
        <w:t xml:space="preserve"> on the response variable, is significant or not, depending on if the resulting P-value lays under the selected </w:t>
      </w:r>
      <w:r>
        <w:sym w:font="Symbol" w:char="F061"/>
      </w:r>
      <w:r>
        <w:t xml:space="preserve"> or not, respectively. For this study, an alpha of 0.05 was chosen, and therefore, if the resulting P-value from a predictor is under this level, it will be correct to claim that the coefficient is significant and to reject the null hypothesis (=predictor </w:t>
      </w:r>
      <w:r w:rsidR="00B36C98">
        <w:t>is not associated with the</w:t>
      </w:r>
      <w:r>
        <w:t xml:space="preserve"> response variable) to a 95% certainty level.</w:t>
      </w:r>
    </w:p>
    <w:p w14:paraId="5ADB9232" w14:textId="77777777" w:rsidR="0088009F" w:rsidRDefault="0088009F" w:rsidP="00CF1860">
      <w:pPr>
        <w:spacing w:line="360" w:lineRule="auto"/>
      </w:pPr>
    </w:p>
    <w:p w14:paraId="782FFE67" w14:textId="77777777" w:rsidR="00F53913" w:rsidRDefault="00F53913" w:rsidP="00F53913">
      <w:pPr>
        <w:spacing w:line="360" w:lineRule="auto"/>
      </w:pPr>
      <w:r>
        <w:t>Assuming the understanding of what a regression and its results implies for an empirical study, the reminding part consist of explaining how the equation was built for this study, and how the results will be interpreted in the following chapter.</w:t>
      </w:r>
    </w:p>
    <w:p w14:paraId="643FBEAF" w14:textId="77777777" w:rsidR="00F53913" w:rsidRDefault="00F53913" w:rsidP="00F53913">
      <w:pPr>
        <w:spacing w:line="360" w:lineRule="auto"/>
      </w:pPr>
    </w:p>
    <w:p w14:paraId="50D9967C" w14:textId="1D34EE4A" w:rsidR="00F53913" w:rsidRDefault="00F53913" w:rsidP="00F53913">
      <w:pPr>
        <w:spacing w:line="360" w:lineRule="auto"/>
      </w:pPr>
      <w:r>
        <w:t xml:space="preserve">Firstly, the dependent variable will be </w:t>
      </w:r>
      <w:proofErr w:type="spellStart"/>
      <w:r>
        <w:rPr>
          <w:i/>
          <w:iCs/>
        </w:rPr>
        <w:t>famafrench_factor</w:t>
      </w:r>
      <w:proofErr w:type="spellEnd"/>
      <w:r>
        <w:t xml:space="preserve">, as a refresher </w:t>
      </w:r>
      <w:proofErr w:type="gramStart"/>
      <w:r>
        <w:t>this variable measures</w:t>
      </w:r>
      <w:proofErr w:type="gramEnd"/>
      <w:r>
        <w:t xml:space="preserve"> whether a respondent is invested in the long leg of a </w:t>
      </w:r>
      <w:proofErr w:type="spellStart"/>
      <w:r>
        <w:t>Fama</w:t>
      </w:r>
      <w:proofErr w:type="spellEnd"/>
      <w:r>
        <w:t>-French factor. As it is desired to understand what characteristics dictate the previous condition, we chose all other variables as predictors. As a result, the regression equation will look as such:</w:t>
      </w:r>
    </w:p>
    <w:p w14:paraId="466EE864" w14:textId="77777777" w:rsidR="00F53913" w:rsidRDefault="00F53913" w:rsidP="00F53913">
      <w:pPr>
        <w:spacing w:line="360" w:lineRule="auto"/>
      </w:pPr>
    </w:p>
    <w:p w14:paraId="27D619E6" w14:textId="77777777" w:rsidR="00F53913" w:rsidRPr="00BF03C2" w:rsidRDefault="00D808CD" w:rsidP="00F53913">
      <w:pPr>
        <w:spacing w:line="360" w:lineRule="auto"/>
        <w:rPr>
          <w:b/>
          <w:bCs/>
        </w:rPr>
      </w:pP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famafrench_factor</m:t>
            </m:r>
          </m:sub>
        </m:sSub>
        <m:r>
          <w:rPr>
            <w:rFonts w:ascii="Cambria Math" w:hAnsi="Cambria Math"/>
          </w:rPr>
          <m:t xml:space="preserve">= α+ </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age</m:t>
            </m:r>
          </m:sub>
        </m:sSub>
        <m:r>
          <w:rPr>
            <w:rFonts w:ascii="Cambria Math" w:hAnsi="Cambria Math"/>
          </w:rPr>
          <m:t xml:space="preserve">Age+ </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gender</m:t>
            </m:r>
          </m:sub>
        </m:sSub>
        <m:r>
          <w:rPr>
            <w:rFonts w:ascii="Cambria Math" w:hAnsi="Cambria Math"/>
          </w:rPr>
          <m:t xml:space="preserve">gender+ </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education</m:t>
            </m:r>
          </m:sub>
        </m:sSub>
        <m:r>
          <w:rPr>
            <w:rFonts w:ascii="Cambria Math" w:hAnsi="Cambria Math"/>
          </w:rPr>
          <m:t xml:space="preserve">education+ </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accommodation</m:t>
            </m:r>
          </m:sub>
        </m:sSub>
        <m:r>
          <w:rPr>
            <w:rFonts w:ascii="Cambria Math" w:hAnsi="Cambria Math"/>
          </w:rPr>
          <m:t xml:space="preserve">accommodation+ </m:t>
        </m:r>
        <m:sSub>
          <m:sSubPr>
            <m:ctrlPr>
              <w:rPr>
                <w:rFonts w:ascii="Cambria Math" w:eastAsiaTheme="minorHAnsi" w:hAnsi="Cambria Math"/>
                <w:i/>
                <w:lang w:eastAsia="en-US"/>
              </w:rPr>
            </m:ctrlPr>
          </m:sSubPr>
          <m:e>
            <m:r>
              <w:rPr>
                <w:rFonts w:ascii="Cambria Math" w:hAnsi="Cambria Math"/>
              </w:rPr>
              <m:t>β</m:t>
            </m:r>
          </m:e>
          <m:sub>
            <m:r>
              <w:rPr>
                <w:rFonts w:ascii="Cambria Math" w:hAnsi="Cambria Math"/>
              </w:rPr>
              <m:t>partner</m:t>
            </m:r>
          </m:sub>
        </m:sSub>
        <m:r>
          <w:rPr>
            <w:rFonts w:ascii="Cambria Math" w:hAnsi="Cambria Math"/>
          </w:rPr>
          <m:t xml:space="preserve">Partner+ </m:t>
        </m:r>
        <m:sSub>
          <m:sSubPr>
            <m:ctrlPr>
              <w:rPr>
                <w:rFonts w:ascii="Cambria Math" w:eastAsiaTheme="minorHAnsi" w:hAnsi="Cambria Math"/>
                <w:i/>
                <w:lang w:eastAsia="en-US"/>
              </w:rPr>
            </m:ctrlPr>
          </m:sSubPr>
          <m:e>
            <m:r>
              <w:rPr>
                <w:rFonts w:ascii="Cambria Math" w:hAnsi="Cambria Math"/>
              </w:rPr>
              <m:t>β</m:t>
            </m:r>
          </m:e>
          <m: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income</m:t>
                    </m:r>
                  </m:e>
                </m:d>
              </m:e>
            </m:func>
          </m:sub>
        </m:sSub>
        <m:r>
          <w:rPr>
            <w:rFonts w:ascii="Cambria Math" w:hAnsi="Cambria Math"/>
          </w:rPr>
          <m:t>log</m:t>
        </m:r>
        <m:d>
          <m:dPr>
            <m:ctrlPr>
              <w:rPr>
                <w:rFonts w:ascii="Cambria Math" w:hAnsi="Cambria Math"/>
                <w:i/>
              </w:rPr>
            </m:ctrlPr>
          </m:dPr>
          <m:e>
            <m:r>
              <w:rPr>
                <w:rFonts w:ascii="Cambria Math" w:hAnsi="Cambria Math"/>
              </w:rPr>
              <m:t>income</m:t>
            </m:r>
          </m:e>
        </m:d>
        <m:r>
          <w:rPr>
            <w:rFonts w:ascii="Cambria Math" w:hAnsi="Cambria Math"/>
          </w:rPr>
          <m:t xml:space="preserve">+ </m:t>
        </m:r>
        <m:sSub>
          <m:sSubPr>
            <m:ctrlPr>
              <w:rPr>
                <w:rFonts w:ascii="Cambria Math" w:eastAsiaTheme="minorHAnsi" w:hAnsi="Cambria Math"/>
                <w:i/>
                <w:lang w:eastAsia="en-US"/>
              </w:rPr>
            </m:ctrlPr>
          </m:sSubPr>
          <m:e>
            <m:r>
              <w:rPr>
                <w:rFonts w:ascii="Cambria Math" w:hAnsi="Cambria Math"/>
              </w:rPr>
              <m:t>β</m:t>
            </m:r>
          </m:e>
          <m: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wealth</m:t>
                    </m:r>
                  </m:e>
                </m:d>
              </m:e>
            </m:func>
          </m:sub>
        </m:sSub>
        <m:r>
          <w:rPr>
            <w:rFonts w:ascii="Cambria Math" w:hAnsi="Cambria Math"/>
          </w:rPr>
          <m:t>log(wealth)</m:t>
        </m:r>
      </m:oMath>
      <w:r w:rsidR="00F53913">
        <w:rPr>
          <w:b/>
          <w:bCs/>
        </w:rPr>
        <w:t xml:space="preserve"> </w:t>
      </w:r>
    </w:p>
    <w:p w14:paraId="1EF67137" w14:textId="77777777" w:rsidR="0088009F" w:rsidRDefault="0088009F" w:rsidP="00CF1860">
      <w:pPr>
        <w:spacing w:line="360" w:lineRule="auto"/>
      </w:pPr>
    </w:p>
    <w:p w14:paraId="65BE5166" w14:textId="77777777" w:rsidR="000E3083" w:rsidRDefault="000E3083" w:rsidP="00CF1860">
      <w:pPr>
        <w:spacing w:line="360" w:lineRule="auto"/>
      </w:pPr>
    </w:p>
    <w:p w14:paraId="29E75A92" w14:textId="215F72A8" w:rsidR="000E3083" w:rsidRPr="00D75132" w:rsidRDefault="000E3083" w:rsidP="00CF1860">
      <w:pPr>
        <w:spacing w:line="360" w:lineRule="auto"/>
        <w:sectPr w:rsidR="000E3083" w:rsidRPr="00D75132" w:rsidSect="008355AC">
          <w:headerReference w:type="even" r:id="rId8"/>
          <w:headerReference w:type="default" r:id="rId9"/>
          <w:footerReference w:type="default" r:id="rId10"/>
          <w:pgSz w:w="11906" w:h="16838"/>
          <w:pgMar w:top="1440" w:right="1440" w:bottom="1440" w:left="1440" w:header="709" w:footer="709" w:gutter="0"/>
          <w:cols w:space="708"/>
          <w:titlePg/>
          <w:docGrid w:linePitch="360"/>
        </w:sectPr>
      </w:pPr>
    </w:p>
    <w:p w14:paraId="076FDD31" w14:textId="77777777" w:rsidR="00844A22" w:rsidRDefault="00844A22" w:rsidP="00CF1860">
      <w:pPr>
        <w:spacing w:line="360" w:lineRule="auto"/>
        <w:rPr>
          <w:i/>
          <w:iCs/>
          <w:sz w:val="20"/>
          <w:szCs w:val="20"/>
        </w:rPr>
      </w:pPr>
    </w:p>
    <w:p w14:paraId="4552C0AE" w14:textId="77777777" w:rsidR="00D75132" w:rsidRDefault="00D75132" w:rsidP="00D75132">
      <w:pPr>
        <w:spacing w:line="360" w:lineRule="auto"/>
      </w:pPr>
    </w:p>
    <w:p w14:paraId="12B6B692" w14:textId="13F13637" w:rsidR="00D75132" w:rsidRPr="0043207E" w:rsidRDefault="00D75132" w:rsidP="00D75132">
      <w:pPr>
        <w:spacing w:line="360" w:lineRule="auto"/>
        <w:rPr>
          <w:b/>
          <w:bCs/>
          <w:i/>
          <w:iCs/>
        </w:rPr>
      </w:pPr>
    </w:p>
    <w:tbl>
      <w:tblPr>
        <w:tblStyle w:val="TableGrid"/>
        <w:tblW w:w="1481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6"/>
        <w:gridCol w:w="797"/>
        <w:gridCol w:w="1470"/>
        <w:gridCol w:w="408"/>
        <w:gridCol w:w="1470"/>
        <w:gridCol w:w="515"/>
        <w:gridCol w:w="854"/>
        <w:gridCol w:w="926"/>
        <w:gridCol w:w="1366"/>
        <w:gridCol w:w="756"/>
        <w:gridCol w:w="1086"/>
        <w:gridCol w:w="2027"/>
        <w:gridCol w:w="2036"/>
        <w:gridCol w:w="232"/>
      </w:tblGrid>
      <w:tr w:rsidR="00E148D4" w:rsidRPr="00C836D1" w14:paraId="35EDC186" w14:textId="27B6F3B8" w:rsidTr="006D08B0">
        <w:trPr>
          <w:trHeight w:val="527"/>
        </w:trPr>
        <w:tc>
          <w:tcPr>
            <w:tcW w:w="905" w:type="dxa"/>
            <w:tcBorders>
              <w:bottom w:val="single" w:sz="4" w:space="0" w:color="auto"/>
            </w:tcBorders>
            <w:vAlign w:val="center"/>
          </w:tcPr>
          <w:p w14:paraId="0686ACF9" w14:textId="77777777" w:rsidR="006D08B0" w:rsidRPr="00C836D1" w:rsidRDefault="006D08B0" w:rsidP="00D75132">
            <w:pPr>
              <w:spacing w:line="360" w:lineRule="auto"/>
              <w:jc w:val="center"/>
              <w:rPr>
                <w:i/>
                <w:iCs/>
                <w:sz w:val="18"/>
                <w:szCs w:val="18"/>
              </w:rPr>
            </w:pPr>
            <w:proofErr w:type="spellStart"/>
            <w:r w:rsidRPr="00C836D1">
              <w:rPr>
                <w:i/>
                <w:iCs/>
                <w:sz w:val="18"/>
                <w:szCs w:val="18"/>
              </w:rPr>
              <w:t>nohhold</w:t>
            </w:r>
            <w:proofErr w:type="spellEnd"/>
          </w:p>
        </w:tc>
        <w:tc>
          <w:tcPr>
            <w:tcW w:w="824" w:type="dxa"/>
            <w:tcBorders>
              <w:bottom w:val="single" w:sz="4" w:space="0" w:color="auto"/>
            </w:tcBorders>
            <w:vAlign w:val="center"/>
          </w:tcPr>
          <w:p w14:paraId="77A68D31" w14:textId="77777777" w:rsidR="006D08B0" w:rsidRPr="00C836D1" w:rsidRDefault="006D08B0" w:rsidP="00D75132">
            <w:pPr>
              <w:spacing w:line="360" w:lineRule="auto"/>
              <w:jc w:val="center"/>
              <w:rPr>
                <w:i/>
                <w:iCs/>
                <w:sz w:val="18"/>
                <w:szCs w:val="18"/>
              </w:rPr>
            </w:pPr>
            <w:proofErr w:type="spellStart"/>
            <w:r w:rsidRPr="00C836D1">
              <w:rPr>
                <w:i/>
                <w:iCs/>
                <w:sz w:val="18"/>
                <w:szCs w:val="18"/>
              </w:rPr>
              <w:t>nomem</w:t>
            </w:r>
            <w:proofErr w:type="spellEnd"/>
          </w:p>
        </w:tc>
        <w:tc>
          <w:tcPr>
            <w:tcW w:w="1520" w:type="dxa"/>
            <w:tcBorders>
              <w:bottom w:val="single" w:sz="4" w:space="0" w:color="auto"/>
            </w:tcBorders>
            <w:vAlign w:val="center"/>
          </w:tcPr>
          <w:p w14:paraId="4B838E9B" w14:textId="331441E9" w:rsidR="006D08B0" w:rsidRPr="00C836D1" w:rsidRDefault="003F652B" w:rsidP="00D75132">
            <w:pPr>
              <w:spacing w:line="360" w:lineRule="auto"/>
              <w:jc w:val="center"/>
              <w:rPr>
                <w:i/>
                <w:iCs/>
                <w:sz w:val="18"/>
                <w:szCs w:val="18"/>
              </w:rPr>
            </w:pPr>
            <w:r>
              <w:rPr>
                <w:i/>
                <w:iCs/>
                <w:sz w:val="18"/>
                <w:szCs w:val="18"/>
              </w:rPr>
              <w:t>stcok</w:t>
            </w:r>
            <w:r w:rsidR="006D08B0" w:rsidRPr="00C836D1">
              <w:rPr>
                <w:i/>
                <w:iCs/>
                <w:sz w:val="18"/>
                <w:szCs w:val="18"/>
              </w:rPr>
              <w:t>1</w:t>
            </w:r>
          </w:p>
        </w:tc>
        <w:tc>
          <w:tcPr>
            <w:tcW w:w="422" w:type="dxa"/>
            <w:tcBorders>
              <w:bottom w:val="single" w:sz="4" w:space="0" w:color="auto"/>
            </w:tcBorders>
            <w:vAlign w:val="center"/>
          </w:tcPr>
          <w:p w14:paraId="1102A940" w14:textId="77777777" w:rsidR="006D08B0" w:rsidRPr="00C836D1" w:rsidRDefault="006D08B0" w:rsidP="00D75132">
            <w:pPr>
              <w:spacing w:line="360" w:lineRule="auto"/>
              <w:jc w:val="center"/>
              <w:rPr>
                <w:i/>
                <w:iCs/>
                <w:sz w:val="18"/>
                <w:szCs w:val="18"/>
              </w:rPr>
            </w:pPr>
            <w:r w:rsidRPr="00C836D1">
              <w:rPr>
                <w:i/>
                <w:iCs/>
                <w:sz w:val="18"/>
                <w:szCs w:val="18"/>
              </w:rPr>
              <w:t>…</w:t>
            </w:r>
          </w:p>
        </w:tc>
        <w:tc>
          <w:tcPr>
            <w:tcW w:w="1521" w:type="dxa"/>
            <w:tcBorders>
              <w:bottom w:val="single" w:sz="4" w:space="0" w:color="auto"/>
            </w:tcBorders>
            <w:vAlign w:val="center"/>
          </w:tcPr>
          <w:p w14:paraId="2E23C708" w14:textId="713F1D79" w:rsidR="006D08B0" w:rsidRPr="00C836D1" w:rsidRDefault="003F652B" w:rsidP="00D75132">
            <w:pPr>
              <w:spacing w:line="360" w:lineRule="auto"/>
              <w:jc w:val="center"/>
              <w:rPr>
                <w:i/>
                <w:iCs/>
                <w:sz w:val="18"/>
                <w:szCs w:val="18"/>
              </w:rPr>
            </w:pPr>
            <w:r>
              <w:rPr>
                <w:i/>
                <w:iCs/>
                <w:sz w:val="18"/>
                <w:szCs w:val="18"/>
              </w:rPr>
              <w:t>stock</w:t>
            </w:r>
            <w:r w:rsidR="006D08B0" w:rsidRPr="00C836D1">
              <w:rPr>
                <w:i/>
                <w:iCs/>
                <w:sz w:val="18"/>
                <w:szCs w:val="18"/>
              </w:rPr>
              <w:t>10</w:t>
            </w:r>
          </w:p>
        </w:tc>
        <w:tc>
          <w:tcPr>
            <w:tcW w:w="533" w:type="dxa"/>
            <w:tcBorders>
              <w:bottom w:val="single" w:sz="4" w:space="0" w:color="auto"/>
            </w:tcBorders>
            <w:vAlign w:val="center"/>
          </w:tcPr>
          <w:p w14:paraId="2D973C06" w14:textId="77777777" w:rsidR="006D08B0" w:rsidRPr="00C836D1" w:rsidRDefault="006D08B0" w:rsidP="00D75132">
            <w:pPr>
              <w:spacing w:line="360" w:lineRule="auto"/>
              <w:jc w:val="center"/>
              <w:rPr>
                <w:i/>
                <w:iCs/>
                <w:sz w:val="18"/>
                <w:szCs w:val="18"/>
              </w:rPr>
            </w:pPr>
            <w:r w:rsidRPr="00C836D1">
              <w:rPr>
                <w:i/>
                <w:iCs/>
                <w:sz w:val="18"/>
                <w:szCs w:val="18"/>
              </w:rPr>
              <w:t>age</w:t>
            </w:r>
          </w:p>
        </w:tc>
        <w:tc>
          <w:tcPr>
            <w:tcW w:w="915" w:type="dxa"/>
            <w:tcBorders>
              <w:bottom w:val="single" w:sz="4" w:space="0" w:color="auto"/>
            </w:tcBorders>
            <w:vAlign w:val="center"/>
          </w:tcPr>
          <w:p w14:paraId="1DE67BE9" w14:textId="6FEE2E91" w:rsidR="006D08B0" w:rsidRPr="00C836D1" w:rsidRDefault="006D08B0" w:rsidP="00D75132">
            <w:pPr>
              <w:spacing w:line="360" w:lineRule="auto"/>
              <w:jc w:val="center"/>
              <w:rPr>
                <w:i/>
                <w:iCs/>
                <w:sz w:val="18"/>
                <w:szCs w:val="18"/>
              </w:rPr>
            </w:pPr>
            <w:r w:rsidRPr="00C836D1">
              <w:rPr>
                <w:i/>
                <w:iCs/>
                <w:sz w:val="18"/>
                <w:szCs w:val="18"/>
              </w:rPr>
              <w:t>ge</w:t>
            </w:r>
            <w:r w:rsidR="009C793F">
              <w:rPr>
                <w:i/>
                <w:iCs/>
                <w:sz w:val="18"/>
                <w:szCs w:val="18"/>
              </w:rPr>
              <w:t>nder</w:t>
            </w:r>
          </w:p>
        </w:tc>
        <w:tc>
          <w:tcPr>
            <w:tcW w:w="792" w:type="dxa"/>
            <w:tcBorders>
              <w:bottom w:val="single" w:sz="4" w:space="0" w:color="auto"/>
            </w:tcBorders>
            <w:vAlign w:val="center"/>
          </w:tcPr>
          <w:p w14:paraId="2E2C694B" w14:textId="70D51E47" w:rsidR="006D08B0" w:rsidRPr="00C836D1" w:rsidRDefault="006D08B0" w:rsidP="00D75132">
            <w:pPr>
              <w:spacing w:line="360" w:lineRule="auto"/>
              <w:jc w:val="center"/>
              <w:rPr>
                <w:i/>
                <w:iCs/>
                <w:sz w:val="18"/>
                <w:szCs w:val="18"/>
              </w:rPr>
            </w:pPr>
            <w:r w:rsidRPr="00C836D1">
              <w:rPr>
                <w:i/>
                <w:iCs/>
                <w:sz w:val="18"/>
                <w:szCs w:val="18"/>
              </w:rPr>
              <w:t>e</w:t>
            </w:r>
            <w:r w:rsidR="009C793F">
              <w:rPr>
                <w:i/>
                <w:iCs/>
                <w:sz w:val="18"/>
                <w:szCs w:val="18"/>
              </w:rPr>
              <w:t>ducation</w:t>
            </w:r>
          </w:p>
        </w:tc>
        <w:tc>
          <w:tcPr>
            <w:tcW w:w="836" w:type="dxa"/>
            <w:tcBorders>
              <w:bottom w:val="single" w:sz="4" w:space="0" w:color="auto"/>
            </w:tcBorders>
            <w:vAlign w:val="center"/>
          </w:tcPr>
          <w:p w14:paraId="78D03F4E" w14:textId="763099FA" w:rsidR="006D08B0" w:rsidRPr="00C836D1" w:rsidRDefault="00E27CEE" w:rsidP="00D75132">
            <w:pPr>
              <w:spacing w:line="360" w:lineRule="auto"/>
              <w:jc w:val="center"/>
              <w:rPr>
                <w:i/>
                <w:iCs/>
                <w:sz w:val="18"/>
                <w:szCs w:val="18"/>
              </w:rPr>
            </w:pPr>
            <w:r>
              <w:rPr>
                <w:i/>
                <w:iCs/>
                <w:sz w:val="18"/>
                <w:szCs w:val="18"/>
              </w:rPr>
              <w:t>accommodation</w:t>
            </w:r>
          </w:p>
        </w:tc>
        <w:tc>
          <w:tcPr>
            <w:tcW w:w="756" w:type="dxa"/>
            <w:tcBorders>
              <w:bottom w:val="single" w:sz="4" w:space="0" w:color="auto"/>
            </w:tcBorders>
            <w:vAlign w:val="center"/>
          </w:tcPr>
          <w:p w14:paraId="097CD42A" w14:textId="5D48D57D" w:rsidR="006D08B0" w:rsidRDefault="006D08B0" w:rsidP="006D08B0">
            <w:pPr>
              <w:spacing w:line="360" w:lineRule="auto"/>
              <w:jc w:val="center"/>
              <w:rPr>
                <w:i/>
                <w:iCs/>
                <w:sz w:val="18"/>
                <w:szCs w:val="18"/>
              </w:rPr>
            </w:pPr>
            <w:r>
              <w:rPr>
                <w:i/>
                <w:iCs/>
                <w:sz w:val="18"/>
                <w:szCs w:val="18"/>
              </w:rPr>
              <w:t>partner</w:t>
            </w:r>
          </w:p>
        </w:tc>
        <w:tc>
          <w:tcPr>
            <w:tcW w:w="846" w:type="dxa"/>
            <w:tcBorders>
              <w:bottom w:val="single" w:sz="4" w:space="0" w:color="auto"/>
            </w:tcBorders>
            <w:vAlign w:val="center"/>
          </w:tcPr>
          <w:p w14:paraId="6819841A" w14:textId="2773895B" w:rsidR="006D08B0" w:rsidRPr="00C836D1" w:rsidRDefault="006D08B0" w:rsidP="00D75132">
            <w:pPr>
              <w:spacing w:line="360" w:lineRule="auto"/>
              <w:jc w:val="center"/>
              <w:rPr>
                <w:i/>
                <w:iCs/>
                <w:sz w:val="18"/>
                <w:szCs w:val="18"/>
              </w:rPr>
            </w:pPr>
            <w:r>
              <w:rPr>
                <w:i/>
                <w:iCs/>
                <w:sz w:val="18"/>
                <w:szCs w:val="18"/>
              </w:rPr>
              <w:t>log(</w:t>
            </w:r>
            <w:r w:rsidR="00E27CEE">
              <w:rPr>
                <w:i/>
                <w:iCs/>
                <w:sz w:val="18"/>
                <w:szCs w:val="18"/>
              </w:rPr>
              <w:t>income</w:t>
            </w:r>
            <w:r>
              <w:rPr>
                <w:i/>
                <w:iCs/>
                <w:sz w:val="18"/>
                <w:szCs w:val="18"/>
              </w:rPr>
              <w:t>)</w:t>
            </w:r>
          </w:p>
        </w:tc>
        <w:tc>
          <w:tcPr>
            <w:tcW w:w="2463" w:type="dxa"/>
            <w:tcBorders>
              <w:bottom w:val="single" w:sz="4" w:space="0" w:color="auto"/>
            </w:tcBorders>
            <w:vAlign w:val="center"/>
          </w:tcPr>
          <w:p w14:paraId="5A41BA9F" w14:textId="7499CD2A" w:rsidR="006D08B0" w:rsidRPr="00C836D1" w:rsidRDefault="006D08B0" w:rsidP="00D75132">
            <w:pPr>
              <w:spacing w:line="360" w:lineRule="auto"/>
              <w:jc w:val="center"/>
              <w:rPr>
                <w:i/>
                <w:iCs/>
                <w:sz w:val="18"/>
                <w:szCs w:val="18"/>
              </w:rPr>
            </w:pPr>
            <w:r>
              <w:rPr>
                <w:i/>
                <w:iCs/>
                <w:sz w:val="18"/>
                <w:szCs w:val="18"/>
              </w:rPr>
              <w:t>log(</w:t>
            </w:r>
            <w:r w:rsidR="00E148D4">
              <w:rPr>
                <w:i/>
                <w:iCs/>
                <w:sz w:val="18"/>
                <w:szCs w:val="18"/>
              </w:rPr>
              <w:t>wealth</w:t>
            </w:r>
            <w:r>
              <w:rPr>
                <w:i/>
                <w:iCs/>
                <w:sz w:val="18"/>
                <w:szCs w:val="18"/>
              </w:rPr>
              <w:t>)</w:t>
            </w:r>
          </w:p>
        </w:tc>
        <w:tc>
          <w:tcPr>
            <w:tcW w:w="2249" w:type="dxa"/>
            <w:tcBorders>
              <w:bottom w:val="single" w:sz="4" w:space="0" w:color="auto"/>
            </w:tcBorders>
            <w:vAlign w:val="center"/>
          </w:tcPr>
          <w:p w14:paraId="5C985B5E" w14:textId="5EE422A6" w:rsidR="006D08B0" w:rsidRPr="00C836D1" w:rsidRDefault="006D08B0" w:rsidP="00D75132">
            <w:pPr>
              <w:spacing w:line="360" w:lineRule="auto"/>
              <w:jc w:val="center"/>
              <w:rPr>
                <w:i/>
                <w:iCs/>
                <w:sz w:val="18"/>
                <w:szCs w:val="18"/>
              </w:rPr>
            </w:pPr>
            <w:proofErr w:type="spellStart"/>
            <w:r w:rsidRPr="00C836D1">
              <w:rPr>
                <w:i/>
                <w:iCs/>
                <w:sz w:val="18"/>
                <w:szCs w:val="18"/>
              </w:rPr>
              <w:t>famafrench_factor</w:t>
            </w:r>
            <w:proofErr w:type="spellEnd"/>
          </w:p>
        </w:tc>
        <w:tc>
          <w:tcPr>
            <w:tcW w:w="237" w:type="dxa"/>
            <w:tcBorders>
              <w:bottom w:val="single" w:sz="4" w:space="0" w:color="auto"/>
            </w:tcBorders>
            <w:vAlign w:val="center"/>
          </w:tcPr>
          <w:p w14:paraId="30B0A5BF" w14:textId="18B115A7" w:rsidR="006D08B0" w:rsidRPr="00C836D1" w:rsidRDefault="006D08B0" w:rsidP="00D75132">
            <w:pPr>
              <w:spacing w:line="360" w:lineRule="auto"/>
              <w:jc w:val="center"/>
              <w:rPr>
                <w:i/>
                <w:iCs/>
                <w:sz w:val="18"/>
                <w:szCs w:val="18"/>
              </w:rPr>
            </w:pPr>
          </w:p>
        </w:tc>
      </w:tr>
      <w:tr w:rsidR="00E148D4" w:rsidRPr="00C836D1" w14:paraId="578337DA" w14:textId="03D36A4E" w:rsidTr="006D08B0">
        <w:trPr>
          <w:trHeight w:val="435"/>
        </w:trPr>
        <w:tc>
          <w:tcPr>
            <w:tcW w:w="905" w:type="dxa"/>
            <w:tcBorders>
              <w:top w:val="single" w:sz="4" w:space="0" w:color="auto"/>
              <w:bottom w:val="nil"/>
            </w:tcBorders>
            <w:vAlign w:val="center"/>
          </w:tcPr>
          <w:p w14:paraId="7D25F09E" w14:textId="77777777" w:rsidR="006D08B0" w:rsidRPr="00C836D1" w:rsidRDefault="006D08B0" w:rsidP="00D75132">
            <w:pPr>
              <w:spacing w:line="360" w:lineRule="auto"/>
              <w:jc w:val="center"/>
              <w:rPr>
                <w:sz w:val="18"/>
                <w:szCs w:val="18"/>
              </w:rPr>
            </w:pPr>
            <w:r w:rsidRPr="00C836D1">
              <w:rPr>
                <w:sz w:val="18"/>
                <w:szCs w:val="18"/>
              </w:rPr>
              <w:t>76</w:t>
            </w:r>
          </w:p>
        </w:tc>
        <w:tc>
          <w:tcPr>
            <w:tcW w:w="824" w:type="dxa"/>
            <w:tcBorders>
              <w:top w:val="single" w:sz="4" w:space="0" w:color="auto"/>
              <w:bottom w:val="nil"/>
            </w:tcBorders>
            <w:vAlign w:val="center"/>
          </w:tcPr>
          <w:p w14:paraId="338CCD6B" w14:textId="77777777" w:rsidR="006D08B0" w:rsidRPr="00C836D1" w:rsidRDefault="006D08B0" w:rsidP="00D75132">
            <w:pPr>
              <w:spacing w:line="360" w:lineRule="auto"/>
              <w:jc w:val="center"/>
              <w:rPr>
                <w:sz w:val="18"/>
                <w:szCs w:val="18"/>
              </w:rPr>
            </w:pPr>
            <w:r w:rsidRPr="00C836D1">
              <w:rPr>
                <w:sz w:val="18"/>
                <w:szCs w:val="18"/>
              </w:rPr>
              <w:t>1</w:t>
            </w:r>
          </w:p>
        </w:tc>
        <w:tc>
          <w:tcPr>
            <w:tcW w:w="1520" w:type="dxa"/>
            <w:tcBorders>
              <w:top w:val="single" w:sz="4" w:space="0" w:color="auto"/>
              <w:bottom w:val="nil"/>
            </w:tcBorders>
            <w:vAlign w:val="center"/>
          </w:tcPr>
          <w:p w14:paraId="3BB14AA1" w14:textId="77777777" w:rsidR="006D08B0" w:rsidRPr="00C836D1" w:rsidRDefault="006D08B0" w:rsidP="00D75132">
            <w:pPr>
              <w:spacing w:line="360" w:lineRule="auto"/>
              <w:jc w:val="center"/>
              <w:rPr>
                <w:sz w:val="18"/>
                <w:szCs w:val="18"/>
              </w:rPr>
            </w:pPr>
            <w:r w:rsidRPr="00C836D1">
              <w:rPr>
                <w:sz w:val="18"/>
                <w:szCs w:val="18"/>
              </w:rPr>
              <w:t>NL0000009082</w:t>
            </w:r>
          </w:p>
        </w:tc>
        <w:tc>
          <w:tcPr>
            <w:tcW w:w="422" w:type="dxa"/>
            <w:tcBorders>
              <w:top w:val="single" w:sz="4" w:space="0" w:color="auto"/>
              <w:bottom w:val="nil"/>
            </w:tcBorders>
            <w:vAlign w:val="center"/>
          </w:tcPr>
          <w:p w14:paraId="1B88C447" w14:textId="77777777" w:rsidR="006D08B0" w:rsidRPr="00C836D1" w:rsidRDefault="006D08B0" w:rsidP="00D75132">
            <w:pPr>
              <w:spacing w:line="360" w:lineRule="auto"/>
              <w:jc w:val="center"/>
              <w:rPr>
                <w:sz w:val="18"/>
                <w:szCs w:val="18"/>
              </w:rPr>
            </w:pPr>
          </w:p>
        </w:tc>
        <w:tc>
          <w:tcPr>
            <w:tcW w:w="1521" w:type="dxa"/>
            <w:tcBorders>
              <w:top w:val="single" w:sz="4" w:space="0" w:color="auto"/>
              <w:bottom w:val="nil"/>
            </w:tcBorders>
            <w:vAlign w:val="center"/>
          </w:tcPr>
          <w:p w14:paraId="68DE9DB3" w14:textId="77777777" w:rsidR="006D08B0" w:rsidRPr="00C836D1" w:rsidRDefault="006D08B0" w:rsidP="00D75132">
            <w:pPr>
              <w:spacing w:line="360" w:lineRule="auto"/>
              <w:jc w:val="center"/>
              <w:rPr>
                <w:sz w:val="18"/>
                <w:szCs w:val="18"/>
              </w:rPr>
            </w:pPr>
            <w:r w:rsidRPr="00C836D1">
              <w:rPr>
                <w:sz w:val="18"/>
                <w:szCs w:val="18"/>
              </w:rPr>
              <w:t>NL0011794037</w:t>
            </w:r>
          </w:p>
        </w:tc>
        <w:tc>
          <w:tcPr>
            <w:tcW w:w="533" w:type="dxa"/>
            <w:tcBorders>
              <w:top w:val="single" w:sz="4" w:space="0" w:color="auto"/>
              <w:bottom w:val="nil"/>
            </w:tcBorders>
            <w:vAlign w:val="center"/>
          </w:tcPr>
          <w:p w14:paraId="3F54C7ED" w14:textId="77777777" w:rsidR="006D08B0" w:rsidRPr="00C836D1" w:rsidRDefault="006D08B0" w:rsidP="00D75132">
            <w:pPr>
              <w:spacing w:line="360" w:lineRule="auto"/>
              <w:jc w:val="center"/>
              <w:rPr>
                <w:sz w:val="18"/>
                <w:szCs w:val="18"/>
              </w:rPr>
            </w:pPr>
            <w:r w:rsidRPr="00C836D1">
              <w:rPr>
                <w:sz w:val="18"/>
                <w:szCs w:val="18"/>
              </w:rPr>
              <w:t>62</w:t>
            </w:r>
          </w:p>
        </w:tc>
        <w:tc>
          <w:tcPr>
            <w:tcW w:w="915" w:type="dxa"/>
            <w:tcBorders>
              <w:top w:val="single" w:sz="4" w:space="0" w:color="auto"/>
              <w:bottom w:val="nil"/>
            </w:tcBorders>
            <w:vAlign w:val="center"/>
          </w:tcPr>
          <w:p w14:paraId="32869827" w14:textId="77777777" w:rsidR="006D08B0" w:rsidRPr="00C836D1" w:rsidRDefault="006D08B0" w:rsidP="00D75132">
            <w:pPr>
              <w:spacing w:line="360" w:lineRule="auto"/>
              <w:jc w:val="center"/>
              <w:rPr>
                <w:sz w:val="18"/>
                <w:szCs w:val="18"/>
              </w:rPr>
            </w:pPr>
            <w:r w:rsidRPr="00C836D1">
              <w:rPr>
                <w:sz w:val="18"/>
                <w:szCs w:val="18"/>
              </w:rPr>
              <w:t>1</w:t>
            </w:r>
          </w:p>
        </w:tc>
        <w:tc>
          <w:tcPr>
            <w:tcW w:w="792" w:type="dxa"/>
            <w:tcBorders>
              <w:top w:val="single" w:sz="4" w:space="0" w:color="auto"/>
              <w:bottom w:val="nil"/>
            </w:tcBorders>
            <w:vAlign w:val="center"/>
          </w:tcPr>
          <w:p w14:paraId="7087EDD3" w14:textId="77777777" w:rsidR="006D08B0" w:rsidRPr="00C836D1" w:rsidRDefault="006D08B0" w:rsidP="00D75132">
            <w:pPr>
              <w:spacing w:line="360" w:lineRule="auto"/>
              <w:jc w:val="center"/>
              <w:rPr>
                <w:sz w:val="18"/>
                <w:szCs w:val="18"/>
              </w:rPr>
            </w:pPr>
            <w:r w:rsidRPr="00C836D1">
              <w:rPr>
                <w:sz w:val="18"/>
                <w:szCs w:val="18"/>
              </w:rPr>
              <w:t>0</w:t>
            </w:r>
          </w:p>
        </w:tc>
        <w:tc>
          <w:tcPr>
            <w:tcW w:w="836" w:type="dxa"/>
            <w:tcBorders>
              <w:top w:val="single" w:sz="4" w:space="0" w:color="auto"/>
              <w:bottom w:val="nil"/>
            </w:tcBorders>
            <w:vAlign w:val="center"/>
          </w:tcPr>
          <w:p w14:paraId="29BBB9CE" w14:textId="77777777" w:rsidR="006D08B0" w:rsidRPr="00C836D1" w:rsidRDefault="006D08B0" w:rsidP="00D75132">
            <w:pPr>
              <w:spacing w:line="360" w:lineRule="auto"/>
              <w:jc w:val="center"/>
              <w:rPr>
                <w:sz w:val="18"/>
                <w:szCs w:val="18"/>
              </w:rPr>
            </w:pPr>
            <w:r w:rsidRPr="00C836D1">
              <w:rPr>
                <w:sz w:val="18"/>
                <w:szCs w:val="18"/>
              </w:rPr>
              <w:t>1</w:t>
            </w:r>
          </w:p>
        </w:tc>
        <w:tc>
          <w:tcPr>
            <w:tcW w:w="756" w:type="dxa"/>
            <w:tcBorders>
              <w:top w:val="single" w:sz="4" w:space="0" w:color="auto"/>
              <w:bottom w:val="nil"/>
            </w:tcBorders>
            <w:vAlign w:val="center"/>
          </w:tcPr>
          <w:p w14:paraId="08E26823" w14:textId="2367F62E" w:rsidR="006D08B0" w:rsidRDefault="006D08B0" w:rsidP="006D08B0">
            <w:pPr>
              <w:spacing w:line="360" w:lineRule="auto"/>
              <w:jc w:val="center"/>
              <w:rPr>
                <w:sz w:val="18"/>
                <w:szCs w:val="18"/>
              </w:rPr>
            </w:pPr>
            <w:r>
              <w:rPr>
                <w:sz w:val="18"/>
                <w:szCs w:val="18"/>
              </w:rPr>
              <w:t>0</w:t>
            </w:r>
          </w:p>
        </w:tc>
        <w:tc>
          <w:tcPr>
            <w:tcW w:w="846" w:type="dxa"/>
            <w:tcBorders>
              <w:top w:val="single" w:sz="4" w:space="0" w:color="auto"/>
              <w:bottom w:val="nil"/>
            </w:tcBorders>
            <w:vAlign w:val="center"/>
          </w:tcPr>
          <w:p w14:paraId="21D3DAF2" w14:textId="14E3F95F" w:rsidR="006D08B0" w:rsidRPr="00C836D1" w:rsidRDefault="006D08B0" w:rsidP="00D75132">
            <w:pPr>
              <w:spacing w:line="360" w:lineRule="auto"/>
              <w:jc w:val="center"/>
              <w:rPr>
                <w:sz w:val="18"/>
                <w:szCs w:val="18"/>
              </w:rPr>
            </w:pPr>
            <w:r>
              <w:rPr>
                <w:sz w:val="18"/>
                <w:szCs w:val="18"/>
              </w:rPr>
              <w:t>4.12</w:t>
            </w:r>
          </w:p>
        </w:tc>
        <w:tc>
          <w:tcPr>
            <w:tcW w:w="2463" w:type="dxa"/>
            <w:tcBorders>
              <w:top w:val="single" w:sz="4" w:space="0" w:color="auto"/>
              <w:bottom w:val="nil"/>
            </w:tcBorders>
            <w:vAlign w:val="center"/>
          </w:tcPr>
          <w:p w14:paraId="14A71663" w14:textId="2C94F270" w:rsidR="006D08B0" w:rsidRPr="00C836D1" w:rsidRDefault="006D08B0" w:rsidP="00D75132">
            <w:pPr>
              <w:spacing w:line="360" w:lineRule="auto"/>
              <w:jc w:val="center"/>
              <w:rPr>
                <w:sz w:val="18"/>
                <w:szCs w:val="18"/>
              </w:rPr>
            </w:pPr>
            <w:r>
              <w:rPr>
                <w:sz w:val="18"/>
                <w:szCs w:val="18"/>
              </w:rPr>
              <w:t>2.68</w:t>
            </w:r>
          </w:p>
        </w:tc>
        <w:tc>
          <w:tcPr>
            <w:tcW w:w="2249" w:type="dxa"/>
            <w:tcBorders>
              <w:top w:val="single" w:sz="4" w:space="0" w:color="auto"/>
              <w:bottom w:val="nil"/>
            </w:tcBorders>
            <w:vAlign w:val="center"/>
          </w:tcPr>
          <w:p w14:paraId="092CAB9A" w14:textId="711224ED" w:rsidR="006D08B0" w:rsidRPr="00C836D1" w:rsidRDefault="006D08B0" w:rsidP="00D75132">
            <w:pPr>
              <w:spacing w:line="360" w:lineRule="auto"/>
              <w:jc w:val="center"/>
              <w:rPr>
                <w:sz w:val="18"/>
                <w:szCs w:val="18"/>
              </w:rPr>
            </w:pPr>
            <w:r w:rsidRPr="00C836D1">
              <w:rPr>
                <w:sz w:val="18"/>
                <w:szCs w:val="18"/>
              </w:rPr>
              <w:t>1</w:t>
            </w:r>
          </w:p>
        </w:tc>
        <w:tc>
          <w:tcPr>
            <w:tcW w:w="237" w:type="dxa"/>
            <w:tcBorders>
              <w:top w:val="single" w:sz="4" w:space="0" w:color="auto"/>
              <w:bottom w:val="nil"/>
            </w:tcBorders>
            <w:vAlign w:val="center"/>
          </w:tcPr>
          <w:p w14:paraId="60A1E49C" w14:textId="5BF60BB9" w:rsidR="006D08B0" w:rsidRPr="00C836D1" w:rsidRDefault="006D08B0" w:rsidP="00D75132">
            <w:pPr>
              <w:spacing w:line="360" w:lineRule="auto"/>
              <w:jc w:val="center"/>
              <w:rPr>
                <w:sz w:val="18"/>
                <w:szCs w:val="18"/>
              </w:rPr>
            </w:pPr>
          </w:p>
        </w:tc>
      </w:tr>
      <w:tr w:rsidR="00E148D4" w:rsidRPr="00C836D1" w14:paraId="517E976C" w14:textId="3DCC304E" w:rsidTr="006D08B0">
        <w:trPr>
          <w:trHeight w:val="435"/>
        </w:trPr>
        <w:tc>
          <w:tcPr>
            <w:tcW w:w="905" w:type="dxa"/>
            <w:tcBorders>
              <w:top w:val="nil"/>
              <w:bottom w:val="nil"/>
            </w:tcBorders>
            <w:vAlign w:val="center"/>
          </w:tcPr>
          <w:p w14:paraId="12C2D659" w14:textId="77777777" w:rsidR="006D08B0" w:rsidRDefault="006D08B0" w:rsidP="00D75132">
            <w:pPr>
              <w:spacing w:line="360" w:lineRule="auto"/>
              <w:jc w:val="center"/>
              <w:rPr>
                <w:sz w:val="18"/>
                <w:szCs w:val="18"/>
              </w:rPr>
            </w:pPr>
          </w:p>
          <w:p w14:paraId="60027A0A" w14:textId="1123500E" w:rsidR="006D08B0" w:rsidRPr="00C836D1" w:rsidRDefault="006D08B0" w:rsidP="00D75132">
            <w:pPr>
              <w:spacing w:line="360" w:lineRule="auto"/>
              <w:jc w:val="center"/>
              <w:rPr>
                <w:sz w:val="18"/>
                <w:szCs w:val="18"/>
              </w:rPr>
            </w:pPr>
            <w:r>
              <w:rPr>
                <w:sz w:val="18"/>
                <w:szCs w:val="18"/>
              </w:rPr>
              <w:t>1320</w:t>
            </w:r>
          </w:p>
        </w:tc>
        <w:tc>
          <w:tcPr>
            <w:tcW w:w="824" w:type="dxa"/>
            <w:tcBorders>
              <w:top w:val="nil"/>
              <w:bottom w:val="nil"/>
            </w:tcBorders>
            <w:vAlign w:val="center"/>
          </w:tcPr>
          <w:p w14:paraId="0C45B504" w14:textId="77777777" w:rsidR="006D08B0" w:rsidRDefault="006D08B0" w:rsidP="00D75132">
            <w:pPr>
              <w:spacing w:line="360" w:lineRule="auto"/>
              <w:jc w:val="center"/>
              <w:rPr>
                <w:sz w:val="18"/>
                <w:szCs w:val="18"/>
              </w:rPr>
            </w:pPr>
          </w:p>
          <w:p w14:paraId="5A10B549" w14:textId="57A5BCB8" w:rsidR="006D08B0" w:rsidRPr="00C836D1" w:rsidRDefault="006D08B0" w:rsidP="00D75132">
            <w:pPr>
              <w:spacing w:line="360" w:lineRule="auto"/>
              <w:jc w:val="center"/>
              <w:rPr>
                <w:sz w:val="18"/>
                <w:szCs w:val="18"/>
              </w:rPr>
            </w:pPr>
            <w:r>
              <w:rPr>
                <w:sz w:val="18"/>
                <w:szCs w:val="18"/>
              </w:rPr>
              <w:t>2</w:t>
            </w:r>
          </w:p>
        </w:tc>
        <w:tc>
          <w:tcPr>
            <w:tcW w:w="1520" w:type="dxa"/>
            <w:tcBorders>
              <w:top w:val="nil"/>
              <w:bottom w:val="nil"/>
            </w:tcBorders>
            <w:vAlign w:val="center"/>
          </w:tcPr>
          <w:p w14:paraId="0C027CA3" w14:textId="77777777" w:rsidR="006D08B0" w:rsidRDefault="006D08B0" w:rsidP="00D75132">
            <w:pPr>
              <w:spacing w:line="360" w:lineRule="auto"/>
              <w:jc w:val="center"/>
              <w:rPr>
                <w:sz w:val="18"/>
                <w:szCs w:val="18"/>
              </w:rPr>
            </w:pPr>
          </w:p>
          <w:p w14:paraId="4E07A1B0" w14:textId="693E0995" w:rsidR="006D08B0" w:rsidRPr="00C836D1" w:rsidRDefault="006D08B0" w:rsidP="00D75132">
            <w:pPr>
              <w:spacing w:line="360" w:lineRule="auto"/>
              <w:jc w:val="center"/>
              <w:rPr>
                <w:sz w:val="18"/>
                <w:szCs w:val="18"/>
              </w:rPr>
            </w:pPr>
            <w:r w:rsidRPr="0043207E">
              <w:rPr>
                <w:sz w:val="18"/>
                <w:szCs w:val="18"/>
              </w:rPr>
              <w:t>IT0004513666</w:t>
            </w:r>
          </w:p>
        </w:tc>
        <w:tc>
          <w:tcPr>
            <w:tcW w:w="422" w:type="dxa"/>
            <w:tcBorders>
              <w:top w:val="nil"/>
              <w:bottom w:val="nil"/>
            </w:tcBorders>
            <w:vAlign w:val="center"/>
          </w:tcPr>
          <w:p w14:paraId="15D2B38F" w14:textId="77777777" w:rsidR="006D08B0" w:rsidRPr="00C836D1" w:rsidRDefault="006D08B0" w:rsidP="00D75132">
            <w:pPr>
              <w:spacing w:line="360" w:lineRule="auto"/>
              <w:jc w:val="center"/>
              <w:rPr>
                <w:sz w:val="18"/>
                <w:szCs w:val="18"/>
              </w:rPr>
            </w:pPr>
          </w:p>
        </w:tc>
        <w:tc>
          <w:tcPr>
            <w:tcW w:w="1521" w:type="dxa"/>
            <w:tcBorders>
              <w:top w:val="nil"/>
              <w:bottom w:val="nil"/>
            </w:tcBorders>
            <w:vAlign w:val="center"/>
          </w:tcPr>
          <w:p w14:paraId="4325457D" w14:textId="77777777" w:rsidR="006D08B0" w:rsidRDefault="006D08B0" w:rsidP="00D75132">
            <w:pPr>
              <w:spacing w:line="360" w:lineRule="auto"/>
              <w:jc w:val="center"/>
              <w:rPr>
                <w:sz w:val="18"/>
                <w:szCs w:val="18"/>
              </w:rPr>
            </w:pPr>
          </w:p>
          <w:p w14:paraId="4F3F2786" w14:textId="56743515" w:rsidR="006D08B0" w:rsidRPr="00C836D1" w:rsidRDefault="006D08B0" w:rsidP="00D75132">
            <w:pPr>
              <w:spacing w:line="360" w:lineRule="auto"/>
              <w:jc w:val="center"/>
              <w:rPr>
                <w:sz w:val="18"/>
                <w:szCs w:val="18"/>
              </w:rPr>
            </w:pPr>
            <w:proofErr w:type="spellStart"/>
            <w:r>
              <w:rPr>
                <w:sz w:val="18"/>
                <w:szCs w:val="18"/>
              </w:rPr>
              <w:t>NaN</w:t>
            </w:r>
            <w:proofErr w:type="spellEnd"/>
          </w:p>
        </w:tc>
        <w:tc>
          <w:tcPr>
            <w:tcW w:w="533" w:type="dxa"/>
            <w:tcBorders>
              <w:top w:val="nil"/>
              <w:bottom w:val="nil"/>
            </w:tcBorders>
            <w:vAlign w:val="center"/>
          </w:tcPr>
          <w:p w14:paraId="5CA279C4" w14:textId="77777777" w:rsidR="006D08B0" w:rsidRDefault="006D08B0" w:rsidP="00D75132">
            <w:pPr>
              <w:spacing w:line="360" w:lineRule="auto"/>
              <w:jc w:val="center"/>
              <w:rPr>
                <w:sz w:val="18"/>
                <w:szCs w:val="18"/>
              </w:rPr>
            </w:pPr>
          </w:p>
          <w:p w14:paraId="44DC30D2" w14:textId="07E7A49B" w:rsidR="006D08B0" w:rsidRPr="00C836D1" w:rsidRDefault="006D08B0" w:rsidP="00D75132">
            <w:pPr>
              <w:spacing w:line="360" w:lineRule="auto"/>
              <w:jc w:val="center"/>
              <w:rPr>
                <w:sz w:val="18"/>
                <w:szCs w:val="18"/>
              </w:rPr>
            </w:pPr>
            <w:r>
              <w:rPr>
                <w:sz w:val="18"/>
                <w:szCs w:val="18"/>
              </w:rPr>
              <w:t>42</w:t>
            </w:r>
          </w:p>
        </w:tc>
        <w:tc>
          <w:tcPr>
            <w:tcW w:w="915" w:type="dxa"/>
            <w:tcBorders>
              <w:top w:val="nil"/>
              <w:bottom w:val="nil"/>
            </w:tcBorders>
            <w:vAlign w:val="center"/>
          </w:tcPr>
          <w:p w14:paraId="35C69664" w14:textId="77777777" w:rsidR="006D08B0" w:rsidRDefault="006D08B0" w:rsidP="00D75132">
            <w:pPr>
              <w:spacing w:line="360" w:lineRule="auto"/>
              <w:jc w:val="center"/>
              <w:rPr>
                <w:sz w:val="18"/>
                <w:szCs w:val="18"/>
              </w:rPr>
            </w:pPr>
          </w:p>
          <w:p w14:paraId="4E49CCC4" w14:textId="60263B87" w:rsidR="006D08B0" w:rsidRPr="00C836D1" w:rsidRDefault="006D08B0" w:rsidP="00D75132">
            <w:pPr>
              <w:spacing w:line="360" w:lineRule="auto"/>
              <w:jc w:val="center"/>
              <w:rPr>
                <w:sz w:val="18"/>
                <w:szCs w:val="18"/>
              </w:rPr>
            </w:pPr>
            <w:r>
              <w:rPr>
                <w:sz w:val="18"/>
                <w:szCs w:val="18"/>
              </w:rPr>
              <w:t>0</w:t>
            </w:r>
          </w:p>
        </w:tc>
        <w:tc>
          <w:tcPr>
            <w:tcW w:w="792" w:type="dxa"/>
            <w:tcBorders>
              <w:top w:val="nil"/>
              <w:bottom w:val="nil"/>
            </w:tcBorders>
            <w:vAlign w:val="center"/>
          </w:tcPr>
          <w:p w14:paraId="539E1E50" w14:textId="77777777" w:rsidR="006D08B0" w:rsidRDefault="006D08B0" w:rsidP="00D75132">
            <w:pPr>
              <w:spacing w:line="360" w:lineRule="auto"/>
              <w:jc w:val="center"/>
              <w:rPr>
                <w:sz w:val="18"/>
                <w:szCs w:val="18"/>
              </w:rPr>
            </w:pPr>
          </w:p>
          <w:p w14:paraId="00416B4D" w14:textId="1E8446D5" w:rsidR="006D08B0" w:rsidRPr="00C836D1" w:rsidRDefault="006D08B0" w:rsidP="00D75132">
            <w:pPr>
              <w:spacing w:line="360" w:lineRule="auto"/>
              <w:jc w:val="center"/>
              <w:rPr>
                <w:sz w:val="18"/>
                <w:szCs w:val="18"/>
              </w:rPr>
            </w:pPr>
            <w:r>
              <w:rPr>
                <w:sz w:val="18"/>
                <w:szCs w:val="18"/>
              </w:rPr>
              <w:t>1</w:t>
            </w:r>
          </w:p>
        </w:tc>
        <w:tc>
          <w:tcPr>
            <w:tcW w:w="836" w:type="dxa"/>
            <w:tcBorders>
              <w:top w:val="nil"/>
              <w:bottom w:val="nil"/>
            </w:tcBorders>
            <w:vAlign w:val="center"/>
          </w:tcPr>
          <w:p w14:paraId="68E5B458" w14:textId="77777777" w:rsidR="006D08B0" w:rsidRDefault="006D08B0" w:rsidP="00D75132">
            <w:pPr>
              <w:spacing w:line="360" w:lineRule="auto"/>
              <w:jc w:val="center"/>
              <w:rPr>
                <w:sz w:val="18"/>
                <w:szCs w:val="18"/>
              </w:rPr>
            </w:pPr>
          </w:p>
          <w:p w14:paraId="68BE1242" w14:textId="73FDC118" w:rsidR="006D08B0" w:rsidRPr="00C836D1" w:rsidRDefault="006D08B0" w:rsidP="00D75132">
            <w:pPr>
              <w:spacing w:line="360" w:lineRule="auto"/>
              <w:jc w:val="center"/>
              <w:rPr>
                <w:sz w:val="18"/>
                <w:szCs w:val="18"/>
              </w:rPr>
            </w:pPr>
            <w:r>
              <w:rPr>
                <w:sz w:val="18"/>
                <w:szCs w:val="18"/>
              </w:rPr>
              <w:t>1</w:t>
            </w:r>
          </w:p>
        </w:tc>
        <w:tc>
          <w:tcPr>
            <w:tcW w:w="756" w:type="dxa"/>
            <w:tcBorders>
              <w:top w:val="nil"/>
              <w:bottom w:val="nil"/>
            </w:tcBorders>
            <w:vAlign w:val="center"/>
          </w:tcPr>
          <w:p w14:paraId="5574FFED" w14:textId="562D3C0D" w:rsidR="006D08B0" w:rsidRDefault="006D08B0" w:rsidP="006D08B0">
            <w:pPr>
              <w:spacing w:line="360" w:lineRule="auto"/>
              <w:jc w:val="center"/>
              <w:rPr>
                <w:sz w:val="18"/>
                <w:szCs w:val="18"/>
              </w:rPr>
            </w:pPr>
            <w:r>
              <w:rPr>
                <w:sz w:val="18"/>
                <w:szCs w:val="18"/>
              </w:rPr>
              <w:t>1</w:t>
            </w:r>
          </w:p>
        </w:tc>
        <w:tc>
          <w:tcPr>
            <w:tcW w:w="846" w:type="dxa"/>
            <w:tcBorders>
              <w:top w:val="nil"/>
              <w:bottom w:val="nil"/>
            </w:tcBorders>
            <w:vAlign w:val="center"/>
          </w:tcPr>
          <w:p w14:paraId="14D2AF36" w14:textId="70C1CA26" w:rsidR="006D08B0" w:rsidRDefault="006D08B0" w:rsidP="00D75132">
            <w:pPr>
              <w:spacing w:line="360" w:lineRule="auto"/>
              <w:jc w:val="center"/>
              <w:rPr>
                <w:sz w:val="18"/>
                <w:szCs w:val="18"/>
              </w:rPr>
            </w:pPr>
          </w:p>
          <w:p w14:paraId="5ECF4B0A" w14:textId="4F449345" w:rsidR="006D08B0" w:rsidRPr="00C836D1" w:rsidRDefault="006D08B0" w:rsidP="00D75132">
            <w:pPr>
              <w:spacing w:line="360" w:lineRule="auto"/>
              <w:jc w:val="center"/>
              <w:rPr>
                <w:sz w:val="18"/>
                <w:szCs w:val="18"/>
              </w:rPr>
            </w:pPr>
            <w:r>
              <w:rPr>
                <w:sz w:val="18"/>
                <w:szCs w:val="18"/>
              </w:rPr>
              <w:t>4.93</w:t>
            </w:r>
          </w:p>
        </w:tc>
        <w:tc>
          <w:tcPr>
            <w:tcW w:w="2463" w:type="dxa"/>
            <w:tcBorders>
              <w:top w:val="nil"/>
              <w:bottom w:val="nil"/>
            </w:tcBorders>
            <w:vAlign w:val="center"/>
          </w:tcPr>
          <w:p w14:paraId="7EF6BE06" w14:textId="77777777" w:rsidR="006D08B0" w:rsidRDefault="006D08B0" w:rsidP="00D75132">
            <w:pPr>
              <w:spacing w:line="360" w:lineRule="auto"/>
              <w:jc w:val="center"/>
              <w:rPr>
                <w:sz w:val="18"/>
                <w:szCs w:val="18"/>
              </w:rPr>
            </w:pPr>
          </w:p>
          <w:p w14:paraId="05F9F634" w14:textId="719868BB" w:rsidR="006D08B0" w:rsidRDefault="006D08B0" w:rsidP="00D75132">
            <w:pPr>
              <w:spacing w:line="360" w:lineRule="auto"/>
              <w:jc w:val="center"/>
              <w:rPr>
                <w:sz w:val="18"/>
                <w:szCs w:val="18"/>
              </w:rPr>
            </w:pPr>
            <w:r>
              <w:rPr>
                <w:sz w:val="18"/>
                <w:szCs w:val="18"/>
              </w:rPr>
              <w:t>3.93</w:t>
            </w:r>
          </w:p>
        </w:tc>
        <w:tc>
          <w:tcPr>
            <w:tcW w:w="2249" w:type="dxa"/>
            <w:tcBorders>
              <w:top w:val="nil"/>
              <w:bottom w:val="nil"/>
            </w:tcBorders>
            <w:vAlign w:val="center"/>
          </w:tcPr>
          <w:p w14:paraId="19C64EF0" w14:textId="77777777" w:rsidR="006D08B0" w:rsidRDefault="006D08B0" w:rsidP="00D75132">
            <w:pPr>
              <w:spacing w:line="360" w:lineRule="auto"/>
              <w:jc w:val="center"/>
              <w:rPr>
                <w:sz w:val="18"/>
                <w:szCs w:val="18"/>
              </w:rPr>
            </w:pPr>
          </w:p>
          <w:p w14:paraId="08652104" w14:textId="5AE4E231" w:rsidR="006D08B0" w:rsidRDefault="006D08B0" w:rsidP="00D75132">
            <w:pPr>
              <w:spacing w:line="360" w:lineRule="auto"/>
              <w:jc w:val="center"/>
              <w:rPr>
                <w:sz w:val="18"/>
                <w:szCs w:val="18"/>
              </w:rPr>
            </w:pPr>
            <w:r>
              <w:rPr>
                <w:sz w:val="18"/>
                <w:szCs w:val="18"/>
              </w:rPr>
              <w:t>1</w:t>
            </w:r>
          </w:p>
        </w:tc>
        <w:tc>
          <w:tcPr>
            <w:tcW w:w="237" w:type="dxa"/>
            <w:tcBorders>
              <w:top w:val="nil"/>
              <w:bottom w:val="nil"/>
            </w:tcBorders>
            <w:vAlign w:val="center"/>
          </w:tcPr>
          <w:p w14:paraId="5D65EEEF" w14:textId="11BFDBEF" w:rsidR="006D08B0" w:rsidRDefault="006D08B0" w:rsidP="00D75132">
            <w:pPr>
              <w:spacing w:line="360" w:lineRule="auto"/>
              <w:jc w:val="center"/>
              <w:rPr>
                <w:sz w:val="18"/>
                <w:szCs w:val="18"/>
              </w:rPr>
            </w:pPr>
          </w:p>
        </w:tc>
      </w:tr>
      <w:tr w:rsidR="00E148D4" w:rsidRPr="00C836D1" w14:paraId="3B1C2EF1" w14:textId="2A8C356C" w:rsidTr="006D08B0">
        <w:trPr>
          <w:trHeight w:val="435"/>
        </w:trPr>
        <w:tc>
          <w:tcPr>
            <w:tcW w:w="905" w:type="dxa"/>
            <w:tcBorders>
              <w:top w:val="nil"/>
              <w:bottom w:val="nil"/>
            </w:tcBorders>
            <w:vAlign w:val="center"/>
          </w:tcPr>
          <w:p w14:paraId="0FD437D5" w14:textId="77777777" w:rsidR="006D08B0" w:rsidRDefault="006D08B0" w:rsidP="00D75132">
            <w:pPr>
              <w:spacing w:line="360" w:lineRule="auto"/>
              <w:jc w:val="center"/>
              <w:rPr>
                <w:sz w:val="18"/>
                <w:szCs w:val="18"/>
              </w:rPr>
            </w:pPr>
          </w:p>
          <w:p w14:paraId="0083ED72" w14:textId="67CF1E8F" w:rsidR="006D08B0" w:rsidRPr="00C836D1" w:rsidRDefault="006D08B0" w:rsidP="00D75132">
            <w:pPr>
              <w:spacing w:line="360" w:lineRule="auto"/>
              <w:jc w:val="center"/>
              <w:rPr>
                <w:sz w:val="18"/>
                <w:szCs w:val="18"/>
              </w:rPr>
            </w:pPr>
            <w:r>
              <w:rPr>
                <w:sz w:val="18"/>
                <w:szCs w:val="18"/>
              </w:rPr>
              <w:t>1600</w:t>
            </w:r>
          </w:p>
        </w:tc>
        <w:tc>
          <w:tcPr>
            <w:tcW w:w="824" w:type="dxa"/>
            <w:tcBorders>
              <w:top w:val="nil"/>
              <w:bottom w:val="nil"/>
            </w:tcBorders>
            <w:vAlign w:val="center"/>
          </w:tcPr>
          <w:p w14:paraId="3DCC0FD3" w14:textId="77777777" w:rsidR="006D08B0" w:rsidRDefault="006D08B0" w:rsidP="00D75132">
            <w:pPr>
              <w:spacing w:line="360" w:lineRule="auto"/>
              <w:jc w:val="center"/>
              <w:rPr>
                <w:sz w:val="18"/>
                <w:szCs w:val="18"/>
              </w:rPr>
            </w:pPr>
          </w:p>
          <w:p w14:paraId="6038CE68" w14:textId="5B6E9EB9" w:rsidR="006D08B0" w:rsidRPr="00C836D1" w:rsidRDefault="006D08B0" w:rsidP="00D75132">
            <w:pPr>
              <w:spacing w:line="360" w:lineRule="auto"/>
              <w:jc w:val="center"/>
              <w:rPr>
                <w:sz w:val="18"/>
                <w:szCs w:val="18"/>
              </w:rPr>
            </w:pPr>
            <w:r>
              <w:rPr>
                <w:sz w:val="18"/>
                <w:szCs w:val="18"/>
              </w:rPr>
              <w:t>1</w:t>
            </w:r>
          </w:p>
        </w:tc>
        <w:tc>
          <w:tcPr>
            <w:tcW w:w="1520" w:type="dxa"/>
            <w:tcBorders>
              <w:top w:val="nil"/>
              <w:bottom w:val="nil"/>
            </w:tcBorders>
            <w:vAlign w:val="center"/>
          </w:tcPr>
          <w:p w14:paraId="716AB20E" w14:textId="77777777" w:rsidR="006D08B0" w:rsidRDefault="006D08B0" w:rsidP="00D75132">
            <w:pPr>
              <w:spacing w:line="360" w:lineRule="auto"/>
              <w:jc w:val="center"/>
              <w:rPr>
                <w:sz w:val="18"/>
                <w:szCs w:val="18"/>
              </w:rPr>
            </w:pPr>
          </w:p>
          <w:p w14:paraId="7E535B1F" w14:textId="5887EBB7" w:rsidR="006D08B0" w:rsidRPr="00C836D1" w:rsidRDefault="006D08B0" w:rsidP="00D75132">
            <w:pPr>
              <w:spacing w:line="360" w:lineRule="auto"/>
              <w:jc w:val="center"/>
              <w:rPr>
                <w:sz w:val="18"/>
                <w:szCs w:val="18"/>
              </w:rPr>
            </w:pPr>
            <w:r w:rsidRPr="0043207E">
              <w:rPr>
                <w:sz w:val="18"/>
                <w:szCs w:val="18"/>
              </w:rPr>
              <w:t>NL0000009538</w:t>
            </w:r>
          </w:p>
        </w:tc>
        <w:tc>
          <w:tcPr>
            <w:tcW w:w="422" w:type="dxa"/>
            <w:tcBorders>
              <w:top w:val="nil"/>
              <w:bottom w:val="nil"/>
            </w:tcBorders>
            <w:vAlign w:val="center"/>
          </w:tcPr>
          <w:p w14:paraId="5EDBBCC8" w14:textId="77777777" w:rsidR="006D08B0" w:rsidRPr="00C836D1" w:rsidRDefault="006D08B0" w:rsidP="00D75132">
            <w:pPr>
              <w:spacing w:line="360" w:lineRule="auto"/>
              <w:jc w:val="center"/>
              <w:rPr>
                <w:sz w:val="18"/>
                <w:szCs w:val="18"/>
              </w:rPr>
            </w:pPr>
          </w:p>
        </w:tc>
        <w:tc>
          <w:tcPr>
            <w:tcW w:w="1521" w:type="dxa"/>
            <w:tcBorders>
              <w:top w:val="nil"/>
              <w:bottom w:val="nil"/>
            </w:tcBorders>
            <w:vAlign w:val="center"/>
          </w:tcPr>
          <w:p w14:paraId="4B8E35AB" w14:textId="77777777" w:rsidR="006D08B0" w:rsidRDefault="006D08B0" w:rsidP="00D75132">
            <w:pPr>
              <w:spacing w:line="360" w:lineRule="auto"/>
              <w:jc w:val="center"/>
              <w:rPr>
                <w:sz w:val="18"/>
                <w:szCs w:val="18"/>
              </w:rPr>
            </w:pPr>
          </w:p>
          <w:p w14:paraId="2EE61CB3" w14:textId="253DB67A" w:rsidR="006D08B0" w:rsidRPr="00C836D1" w:rsidRDefault="006D08B0" w:rsidP="00D75132">
            <w:pPr>
              <w:spacing w:line="360" w:lineRule="auto"/>
              <w:jc w:val="center"/>
              <w:rPr>
                <w:sz w:val="18"/>
                <w:szCs w:val="18"/>
              </w:rPr>
            </w:pPr>
            <w:r w:rsidRPr="0043207E">
              <w:rPr>
                <w:sz w:val="18"/>
                <w:szCs w:val="18"/>
              </w:rPr>
              <w:t>NL0006294274</w:t>
            </w:r>
          </w:p>
        </w:tc>
        <w:tc>
          <w:tcPr>
            <w:tcW w:w="533" w:type="dxa"/>
            <w:tcBorders>
              <w:top w:val="nil"/>
              <w:bottom w:val="nil"/>
            </w:tcBorders>
            <w:vAlign w:val="center"/>
          </w:tcPr>
          <w:p w14:paraId="0AF84960" w14:textId="77777777" w:rsidR="006D08B0" w:rsidRDefault="006D08B0" w:rsidP="00D75132">
            <w:pPr>
              <w:spacing w:line="360" w:lineRule="auto"/>
              <w:jc w:val="center"/>
              <w:rPr>
                <w:sz w:val="18"/>
                <w:szCs w:val="18"/>
              </w:rPr>
            </w:pPr>
          </w:p>
          <w:p w14:paraId="4CE7C2E9" w14:textId="29ADC8AC" w:rsidR="006D08B0" w:rsidRPr="00C836D1" w:rsidRDefault="006D08B0" w:rsidP="00D75132">
            <w:pPr>
              <w:spacing w:line="360" w:lineRule="auto"/>
              <w:jc w:val="center"/>
              <w:rPr>
                <w:sz w:val="18"/>
                <w:szCs w:val="18"/>
              </w:rPr>
            </w:pPr>
            <w:r>
              <w:rPr>
                <w:sz w:val="18"/>
                <w:szCs w:val="18"/>
              </w:rPr>
              <w:t>58</w:t>
            </w:r>
          </w:p>
        </w:tc>
        <w:tc>
          <w:tcPr>
            <w:tcW w:w="915" w:type="dxa"/>
            <w:tcBorders>
              <w:top w:val="nil"/>
              <w:bottom w:val="nil"/>
            </w:tcBorders>
            <w:vAlign w:val="center"/>
          </w:tcPr>
          <w:p w14:paraId="5CF16782" w14:textId="77777777" w:rsidR="006D08B0" w:rsidRDefault="006D08B0" w:rsidP="00D75132">
            <w:pPr>
              <w:spacing w:line="360" w:lineRule="auto"/>
              <w:jc w:val="center"/>
              <w:rPr>
                <w:sz w:val="18"/>
                <w:szCs w:val="18"/>
              </w:rPr>
            </w:pPr>
          </w:p>
          <w:p w14:paraId="722D5436" w14:textId="7223A803" w:rsidR="006D08B0" w:rsidRPr="00C836D1" w:rsidRDefault="006D08B0" w:rsidP="00D75132">
            <w:pPr>
              <w:spacing w:line="360" w:lineRule="auto"/>
              <w:jc w:val="center"/>
              <w:rPr>
                <w:sz w:val="18"/>
                <w:szCs w:val="18"/>
              </w:rPr>
            </w:pPr>
            <w:r>
              <w:rPr>
                <w:sz w:val="18"/>
                <w:szCs w:val="18"/>
              </w:rPr>
              <w:t>1</w:t>
            </w:r>
          </w:p>
        </w:tc>
        <w:tc>
          <w:tcPr>
            <w:tcW w:w="792" w:type="dxa"/>
            <w:tcBorders>
              <w:top w:val="nil"/>
              <w:bottom w:val="nil"/>
            </w:tcBorders>
            <w:vAlign w:val="center"/>
          </w:tcPr>
          <w:p w14:paraId="52CF667F" w14:textId="77777777" w:rsidR="006D08B0" w:rsidRDefault="006D08B0" w:rsidP="00D75132">
            <w:pPr>
              <w:spacing w:line="360" w:lineRule="auto"/>
              <w:jc w:val="center"/>
              <w:rPr>
                <w:sz w:val="18"/>
                <w:szCs w:val="18"/>
              </w:rPr>
            </w:pPr>
          </w:p>
          <w:p w14:paraId="50048737" w14:textId="341CE023" w:rsidR="006D08B0" w:rsidRPr="00C836D1" w:rsidRDefault="006D08B0" w:rsidP="00D75132">
            <w:pPr>
              <w:spacing w:line="360" w:lineRule="auto"/>
              <w:jc w:val="center"/>
              <w:rPr>
                <w:sz w:val="18"/>
                <w:szCs w:val="18"/>
              </w:rPr>
            </w:pPr>
            <w:r>
              <w:rPr>
                <w:sz w:val="18"/>
                <w:szCs w:val="18"/>
              </w:rPr>
              <w:t>0</w:t>
            </w:r>
          </w:p>
        </w:tc>
        <w:tc>
          <w:tcPr>
            <w:tcW w:w="836" w:type="dxa"/>
            <w:tcBorders>
              <w:top w:val="nil"/>
              <w:bottom w:val="nil"/>
            </w:tcBorders>
            <w:vAlign w:val="center"/>
          </w:tcPr>
          <w:p w14:paraId="6E635AB7" w14:textId="77777777" w:rsidR="006D08B0" w:rsidRDefault="006D08B0" w:rsidP="00D75132">
            <w:pPr>
              <w:spacing w:line="360" w:lineRule="auto"/>
              <w:jc w:val="center"/>
              <w:rPr>
                <w:sz w:val="18"/>
                <w:szCs w:val="18"/>
              </w:rPr>
            </w:pPr>
          </w:p>
          <w:p w14:paraId="58C41C86" w14:textId="799BF06C" w:rsidR="006D08B0" w:rsidRPr="00C836D1" w:rsidRDefault="006D08B0" w:rsidP="00D75132">
            <w:pPr>
              <w:spacing w:line="360" w:lineRule="auto"/>
              <w:jc w:val="center"/>
              <w:rPr>
                <w:sz w:val="18"/>
                <w:szCs w:val="18"/>
              </w:rPr>
            </w:pPr>
            <w:r>
              <w:rPr>
                <w:sz w:val="18"/>
                <w:szCs w:val="18"/>
              </w:rPr>
              <w:t>0</w:t>
            </w:r>
          </w:p>
        </w:tc>
        <w:tc>
          <w:tcPr>
            <w:tcW w:w="756" w:type="dxa"/>
            <w:tcBorders>
              <w:top w:val="nil"/>
              <w:bottom w:val="nil"/>
            </w:tcBorders>
            <w:vAlign w:val="center"/>
          </w:tcPr>
          <w:p w14:paraId="6450C19D" w14:textId="2065A77A" w:rsidR="006D08B0" w:rsidRDefault="006D08B0" w:rsidP="006D08B0">
            <w:pPr>
              <w:spacing w:line="360" w:lineRule="auto"/>
              <w:jc w:val="center"/>
              <w:rPr>
                <w:sz w:val="18"/>
                <w:szCs w:val="18"/>
              </w:rPr>
            </w:pPr>
            <w:r>
              <w:rPr>
                <w:sz w:val="18"/>
                <w:szCs w:val="18"/>
              </w:rPr>
              <w:t>1</w:t>
            </w:r>
          </w:p>
        </w:tc>
        <w:tc>
          <w:tcPr>
            <w:tcW w:w="846" w:type="dxa"/>
            <w:tcBorders>
              <w:top w:val="nil"/>
              <w:bottom w:val="nil"/>
            </w:tcBorders>
            <w:vAlign w:val="center"/>
          </w:tcPr>
          <w:p w14:paraId="208C1CC7" w14:textId="048B0523" w:rsidR="006D08B0" w:rsidRDefault="006D08B0" w:rsidP="00D75132">
            <w:pPr>
              <w:spacing w:line="360" w:lineRule="auto"/>
              <w:jc w:val="center"/>
              <w:rPr>
                <w:sz w:val="18"/>
                <w:szCs w:val="18"/>
              </w:rPr>
            </w:pPr>
          </w:p>
          <w:p w14:paraId="76872ED2" w14:textId="749C0581" w:rsidR="006D08B0" w:rsidRPr="00C836D1" w:rsidRDefault="006D08B0" w:rsidP="00D75132">
            <w:pPr>
              <w:spacing w:line="360" w:lineRule="auto"/>
              <w:jc w:val="center"/>
              <w:rPr>
                <w:sz w:val="18"/>
                <w:szCs w:val="18"/>
              </w:rPr>
            </w:pPr>
            <w:r>
              <w:rPr>
                <w:sz w:val="18"/>
                <w:szCs w:val="18"/>
              </w:rPr>
              <w:t>4.42</w:t>
            </w:r>
          </w:p>
        </w:tc>
        <w:tc>
          <w:tcPr>
            <w:tcW w:w="2463" w:type="dxa"/>
            <w:tcBorders>
              <w:top w:val="nil"/>
              <w:bottom w:val="nil"/>
            </w:tcBorders>
            <w:vAlign w:val="center"/>
          </w:tcPr>
          <w:p w14:paraId="2D8F92A7" w14:textId="77777777" w:rsidR="006D08B0" w:rsidRDefault="006D08B0" w:rsidP="00D75132">
            <w:pPr>
              <w:spacing w:line="360" w:lineRule="auto"/>
              <w:jc w:val="center"/>
              <w:rPr>
                <w:sz w:val="18"/>
                <w:szCs w:val="18"/>
              </w:rPr>
            </w:pPr>
          </w:p>
          <w:p w14:paraId="4057C862" w14:textId="3A38BBF6" w:rsidR="006D08B0" w:rsidRDefault="006D08B0" w:rsidP="00D75132">
            <w:pPr>
              <w:spacing w:line="360" w:lineRule="auto"/>
              <w:jc w:val="center"/>
              <w:rPr>
                <w:sz w:val="18"/>
                <w:szCs w:val="18"/>
              </w:rPr>
            </w:pPr>
            <w:r>
              <w:rPr>
                <w:sz w:val="18"/>
                <w:szCs w:val="18"/>
              </w:rPr>
              <w:t>4.88</w:t>
            </w:r>
          </w:p>
        </w:tc>
        <w:tc>
          <w:tcPr>
            <w:tcW w:w="2249" w:type="dxa"/>
            <w:tcBorders>
              <w:top w:val="nil"/>
              <w:bottom w:val="nil"/>
            </w:tcBorders>
            <w:vAlign w:val="center"/>
          </w:tcPr>
          <w:p w14:paraId="46143806" w14:textId="77777777" w:rsidR="006D08B0" w:rsidRDefault="006D08B0" w:rsidP="00D75132">
            <w:pPr>
              <w:spacing w:line="360" w:lineRule="auto"/>
              <w:jc w:val="center"/>
              <w:rPr>
                <w:sz w:val="18"/>
                <w:szCs w:val="18"/>
              </w:rPr>
            </w:pPr>
          </w:p>
          <w:p w14:paraId="48393F52" w14:textId="77F9D2AD" w:rsidR="006D08B0" w:rsidRDefault="006D08B0" w:rsidP="00D75132">
            <w:pPr>
              <w:spacing w:line="360" w:lineRule="auto"/>
              <w:jc w:val="center"/>
              <w:rPr>
                <w:sz w:val="18"/>
                <w:szCs w:val="18"/>
              </w:rPr>
            </w:pPr>
            <w:r>
              <w:rPr>
                <w:sz w:val="18"/>
                <w:szCs w:val="18"/>
              </w:rPr>
              <w:t>0</w:t>
            </w:r>
          </w:p>
        </w:tc>
        <w:tc>
          <w:tcPr>
            <w:tcW w:w="237" w:type="dxa"/>
            <w:tcBorders>
              <w:top w:val="nil"/>
              <w:bottom w:val="nil"/>
            </w:tcBorders>
            <w:vAlign w:val="center"/>
          </w:tcPr>
          <w:p w14:paraId="5FEA279B" w14:textId="2AB04AFB" w:rsidR="006D08B0" w:rsidRDefault="006D08B0" w:rsidP="00D75132">
            <w:pPr>
              <w:spacing w:line="360" w:lineRule="auto"/>
              <w:jc w:val="center"/>
              <w:rPr>
                <w:sz w:val="18"/>
                <w:szCs w:val="18"/>
              </w:rPr>
            </w:pPr>
          </w:p>
        </w:tc>
      </w:tr>
    </w:tbl>
    <w:p w14:paraId="4341A8BF" w14:textId="77777777" w:rsidR="00D75132" w:rsidRDefault="00D75132" w:rsidP="00D75132">
      <w:pPr>
        <w:spacing w:line="360" w:lineRule="auto"/>
        <w:rPr>
          <w:i/>
          <w:iCs/>
          <w:sz w:val="20"/>
          <w:szCs w:val="20"/>
        </w:rPr>
      </w:pPr>
    </w:p>
    <w:p w14:paraId="4FCEA312" w14:textId="1A9E755B" w:rsidR="00D75132" w:rsidRPr="0088009F" w:rsidRDefault="00D75132" w:rsidP="00CF1860">
      <w:pPr>
        <w:spacing w:line="360" w:lineRule="auto"/>
        <w:rPr>
          <w:i/>
          <w:iCs/>
        </w:rPr>
        <w:sectPr w:rsidR="00D75132" w:rsidRPr="0088009F" w:rsidSect="00D75132">
          <w:pgSz w:w="16838" w:h="11906" w:orient="landscape"/>
          <w:pgMar w:top="1440" w:right="1440" w:bottom="1440" w:left="1440" w:header="709" w:footer="709" w:gutter="0"/>
          <w:cols w:space="708"/>
          <w:titlePg/>
          <w:docGrid w:linePitch="360"/>
        </w:sectPr>
      </w:pPr>
      <w:r w:rsidRPr="00844A22">
        <w:rPr>
          <w:i/>
          <w:iCs/>
        </w:rPr>
        <w:t>On this</w:t>
      </w:r>
      <w:r w:rsidRPr="0043207E">
        <w:rPr>
          <w:i/>
          <w:iCs/>
          <w:sz w:val="20"/>
          <w:szCs w:val="20"/>
        </w:rPr>
        <w:t xml:space="preserve"> </w:t>
      </w:r>
      <w:r w:rsidR="000A6E41">
        <w:rPr>
          <w:i/>
          <w:iCs/>
        </w:rPr>
        <w:t>tabl</w:t>
      </w:r>
      <w:r w:rsidRPr="00844A22">
        <w:rPr>
          <w:i/>
          <w:iCs/>
        </w:rPr>
        <w:t>e, a depiction of how the final data looks can be seen. Note that this is just an example and not necessarily part of the actual dat</w:t>
      </w:r>
      <w:r w:rsidR="000E3083">
        <w:rPr>
          <w:i/>
          <w:iCs/>
        </w:rPr>
        <w:t>a.</w:t>
      </w:r>
    </w:p>
    <w:p w14:paraId="25CBEBA0" w14:textId="77777777" w:rsidR="00A70749" w:rsidRDefault="002E38D3" w:rsidP="00CF1860">
      <w:pPr>
        <w:spacing w:line="360" w:lineRule="auto"/>
      </w:pPr>
      <w:r>
        <w:lastRenderedPageBreak/>
        <w:t xml:space="preserve">Then, when interpreting the results, </w:t>
      </w:r>
      <w:r w:rsidR="007A152C">
        <w:t xml:space="preserve">we will first look at the P-value of the dependent variable, assuming that it will stand below the alpha, then we will go over each of the </w:t>
      </w:r>
    </w:p>
    <w:p w14:paraId="700A2E0B" w14:textId="0965D938" w:rsidR="002E38D3" w:rsidRDefault="00A70749" w:rsidP="00CF1860">
      <w:pPr>
        <w:spacing w:line="360" w:lineRule="auto"/>
      </w:pPr>
      <w:r>
        <w:t>P</w:t>
      </w:r>
      <w:r w:rsidR="007A152C">
        <w:t xml:space="preserve">-values for the independent variables, </w:t>
      </w:r>
      <w:r w:rsidR="00BF03C2">
        <w:t xml:space="preserve">if they are considered </w:t>
      </w:r>
      <w:r w:rsidR="003E41C4">
        <w:t>significant,</w:t>
      </w:r>
      <w:r w:rsidR="00BF03C2">
        <w:t xml:space="preserve"> we will then look at </w:t>
      </w:r>
      <w:r>
        <w:t>the coefficient, if positive then it would imply that the group with the 1 in such variable (</w:t>
      </w:r>
      <w:r>
        <w:rPr>
          <w:i/>
          <w:iCs/>
        </w:rPr>
        <w:t>Figure 1</w:t>
      </w:r>
      <w:r>
        <w:t xml:space="preserve">) are prone to invest in the </w:t>
      </w:r>
      <w:r w:rsidR="003E41C4">
        <w:t>long leg</w:t>
      </w:r>
      <w:r>
        <w:t xml:space="preserve"> of the relevant factor for the regression. However, if the </w:t>
      </w:r>
      <w:r>
        <w:sym w:font="Symbol" w:char="F062"/>
      </w:r>
      <w:r>
        <w:t xml:space="preserve"> results negative, then this will mean that on the contrary, it is the 0 characteristic that is more susceptible to investing in the </w:t>
      </w:r>
      <w:r w:rsidR="003E41C4">
        <w:t>long leg.</w:t>
      </w:r>
    </w:p>
    <w:p w14:paraId="234AF357" w14:textId="0D661AB7" w:rsidR="009C43D2" w:rsidRDefault="009C43D2" w:rsidP="00CF1860">
      <w:pPr>
        <w:spacing w:line="360" w:lineRule="auto"/>
      </w:pPr>
    </w:p>
    <w:p w14:paraId="211B843F" w14:textId="77777777" w:rsidR="009C43D2" w:rsidRPr="00A70749" w:rsidRDefault="009C43D2" w:rsidP="00CF1860">
      <w:pPr>
        <w:spacing w:line="360" w:lineRule="auto"/>
      </w:pPr>
    </w:p>
    <w:p w14:paraId="660BEF87" w14:textId="72F0F810" w:rsidR="00930170" w:rsidRDefault="00930170" w:rsidP="00CF1860">
      <w:pPr>
        <w:spacing w:line="360" w:lineRule="auto"/>
      </w:pPr>
    </w:p>
    <w:p w14:paraId="21697ED7" w14:textId="6733CFDA" w:rsidR="00930170" w:rsidRDefault="00930170" w:rsidP="00CF1860">
      <w:pPr>
        <w:spacing w:line="360" w:lineRule="auto"/>
      </w:pPr>
    </w:p>
    <w:p w14:paraId="49B9BE8E" w14:textId="75D017B0" w:rsidR="00930170" w:rsidRDefault="00930170" w:rsidP="00CF1860">
      <w:pPr>
        <w:spacing w:line="360" w:lineRule="auto"/>
      </w:pPr>
    </w:p>
    <w:p w14:paraId="4B29AD6D" w14:textId="18EF1D6B" w:rsidR="00930170" w:rsidRDefault="00930170" w:rsidP="00CF1860">
      <w:pPr>
        <w:spacing w:line="360" w:lineRule="auto"/>
      </w:pPr>
    </w:p>
    <w:p w14:paraId="28485E26" w14:textId="7B50AE32" w:rsidR="00930170" w:rsidRDefault="00930170" w:rsidP="00CF1860">
      <w:pPr>
        <w:spacing w:line="360" w:lineRule="auto"/>
      </w:pPr>
    </w:p>
    <w:p w14:paraId="61379E8F" w14:textId="2DCAD175" w:rsidR="00930170" w:rsidRDefault="00930170" w:rsidP="00CF1860">
      <w:pPr>
        <w:spacing w:line="360" w:lineRule="auto"/>
      </w:pPr>
    </w:p>
    <w:p w14:paraId="226EC9E3" w14:textId="7C9F67DD" w:rsidR="00930170" w:rsidRDefault="00930170" w:rsidP="00CF1860">
      <w:pPr>
        <w:spacing w:line="360" w:lineRule="auto"/>
      </w:pPr>
    </w:p>
    <w:p w14:paraId="0A608EE3" w14:textId="355648D9" w:rsidR="00F53913" w:rsidRDefault="00F53913" w:rsidP="00CF1860">
      <w:pPr>
        <w:spacing w:line="360" w:lineRule="auto"/>
      </w:pPr>
    </w:p>
    <w:p w14:paraId="4A357104" w14:textId="710CB25B" w:rsidR="00F53913" w:rsidRDefault="00F53913" w:rsidP="00CF1860">
      <w:pPr>
        <w:spacing w:line="360" w:lineRule="auto"/>
      </w:pPr>
    </w:p>
    <w:p w14:paraId="0F23538F" w14:textId="0BC3D0D6" w:rsidR="00F53913" w:rsidRDefault="00F53913" w:rsidP="00CF1860">
      <w:pPr>
        <w:spacing w:line="360" w:lineRule="auto"/>
      </w:pPr>
    </w:p>
    <w:p w14:paraId="722F52AB" w14:textId="78B2FECC" w:rsidR="00F53913" w:rsidRDefault="00F53913" w:rsidP="00CF1860">
      <w:pPr>
        <w:spacing w:line="360" w:lineRule="auto"/>
      </w:pPr>
    </w:p>
    <w:p w14:paraId="05E5CF06" w14:textId="63E885E9" w:rsidR="00F53913" w:rsidRDefault="00F53913" w:rsidP="00CF1860">
      <w:pPr>
        <w:spacing w:line="360" w:lineRule="auto"/>
      </w:pPr>
    </w:p>
    <w:p w14:paraId="6A661675" w14:textId="5B0899A8" w:rsidR="00F53913" w:rsidRDefault="00F53913" w:rsidP="00CF1860">
      <w:pPr>
        <w:spacing w:line="360" w:lineRule="auto"/>
      </w:pPr>
    </w:p>
    <w:p w14:paraId="73FBACBA" w14:textId="7EBFDC72" w:rsidR="00F53913" w:rsidRDefault="00F53913" w:rsidP="00CF1860">
      <w:pPr>
        <w:spacing w:line="360" w:lineRule="auto"/>
      </w:pPr>
    </w:p>
    <w:p w14:paraId="2178FCAC" w14:textId="58A17031" w:rsidR="00F53913" w:rsidRDefault="00F53913" w:rsidP="00CF1860">
      <w:pPr>
        <w:spacing w:line="360" w:lineRule="auto"/>
      </w:pPr>
    </w:p>
    <w:p w14:paraId="4459FC8A" w14:textId="2E673C99" w:rsidR="00F53913" w:rsidRDefault="00F53913" w:rsidP="00CF1860">
      <w:pPr>
        <w:spacing w:line="360" w:lineRule="auto"/>
      </w:pPr>
    </w:p>
    <w:p w14:paraId="498C870F" w14:textId="0AECCB42" w:rsidR="00F53913" w:rsidRDefault="00F53913" w:rsidP="00CF1860">
      <w:pPr>
        <w:spacing w:line="360" w:lineRule="auto"/>
      </w:pPr>
    </w:p>
    <w:p w14:paraId="393E4DFC" w14:textId="64DC24F4" w:rsidR="00F53913" w:rsidRDefault="00F53913" w:rsidP="00CF1860">
      <w:pPr>
        <w:spacing w:line="360" w:lineRule="auto"/>
      </w:pPr>
    </w:p>
    <w:p w14:paraId="6C827EB4" w14:textId="74D29C7B" w:rsidR="00F53913" w:rsidRDefault="00F53913" w:rsidP="00CF1860">
      <w:pPr>
        <w:spacing w:line="360" w:lineRule="auto"/>
      </w:pPr>
    </w:p>
    <w:p w14:paraId="4EC9FE1D" w14:textId="0E083611" w:rsidR="00F53913" w:rsidRDefault="00F53913" w:rsidP="00CF1860">
      <w:pPr>
        <w:spacing w:line="360" w:lineRule="auto"/>
      </w:pPr>
    </w:p>
    <w:p w14:paraId="6C0ED99A" w14:textId="785FACF3" w:rsidR="00F53913" w:rsidRDefault="00F53913" w:rsidP="00CF1860">
      <w:pPr>
        <w:spacing w:line="360" w:lineRule="auto"/>
      </w:pPr>
    </w:p>
    <w:p w14:paraId="097AD46D" w14:textId="48340DAC" w:rsidR="00532822" w:rsidRDefault="00532822" w:rsidP="00CF1860">
      <w:pPr>
        <w:spacing w:line="360" w:lineRule="auto"/>
      </w:pPr>
    </w:p>
    <w:p w14:paraId="0FFD628B" w14:textId="77777777" w:rsidR="00532822" w:rsidRDefault="00532822" w:rsidP="00CF1860">
      <w:pPr>
        <w:spacing w:line="360" w:lineRule="auto"/>
      </w:pPr>
    </w:p>
    <w:p w14:paraId="5738D247" w14:textId="0419393A" w:rsidR="00C40268" w:rsidRPr="000F702A" w:rsidRDefault="000A6E41" w:rsidP="000F702A">
      <w:pPr>
        <w:pStyle w:val="Heading1"/>
        <w:rPr>
          <w:rFonts w:ascii="Times New Roman" w:hAnsi="Times New Roman" w:cs="Times New Roman"/>
          <w:b/>
          <w:bCs/>
          <w:color w:val="000000" w:themeColor="text1"/>
          <w:sz w:val="24"/>
          <w:szCs w:val="24"/>
          <w:u w:val="single"/>
        </w:rPr>
      </w:pPr>
      <w:bookmarkStart w:id="22" w:name="_Toc102301209"/>
      <w:bookmarkStart w:id="23" w:name="_Toc103963052"/>
      <w:r w:rsidRPr="000F702A">
        <w:rPr>
          <w:rFonts w:ascii="Times New Roman" w:hAnsi="Times New Roman" w:cs="Times New Roman"/>
          <w:b/>
          <w:bCs/>
          <w:color w:val="000000" w:themeColor="text1"/>
          <w:sz w:val="24"/>
          <w:szCs w:val="24"/>
          <w:u w:val="single"/>
        </w:rPr>
        <w:lastRenderedPageBreak/>
        <w:t>4</w:t>
      </w:r>
      <w:r w:rsidR="009C43D2" w:rsidRPr="000F702A">
        <w:rPr>
          <w:rFonts w:ascii="Times New Roman" w:hAnsi="Times New Roman" w:cs="Times New Roman"/>
          <w:b/>
          <w:bCs/>
          <w:color w:val="000000" w:themeColor="text1"/>
          <w:sz w:val="24"/>
          <w:szCs w:val="24"/>
          <w:u w:val="single"/>
        </w:rPr>
        <w:t>. Empirical Results</w:t>
      </w:r>
      <w:bookmarkEnd w:id="22"/>
      <w:bookmarkEnd w:id="23"/>
    </w:p>
    <w:p w14:paraId="4A94AC5C" w14:textId="44A524BB" w:rsidR="009C43D2" w:rsidRDefault="009C43D2" w:rsidP="00CF1860">
      <w:pPr>
        <w:spacing w:line="360" w:lineRule="auto"/>
        <w:rPr>
          <w:b/>
          <w:bCs/>
          <w:u w:val="single"/>
        </w:rPr>
      </w:pPr>
    </w:p>
    <w:p w14:paraId="0E7EF593" w14:textId="5432B553" w:rsidR="009C43D2" w:rsidRDefault="009C43D2" w:rsidP="00CF1860">
      <w:pPr>
        <w:spacing w:line="360" w:lineRule="auto"/>
      </w:pPr>
      <w:r>
        <w:tab/>
        <w:t xml:space="preserve">This chapter consists on showing the results from the regressions and interpreting them. The discussion about them will come then in the last chapter. As mentioned, there are 4 regressions, one for each of the factors of the </w:t>
      </w:r>
      <w:proofErr w:type="spellStart"/>
      <w:r>
        <w:t>Fama</w:t>
      </w:r>
      <w:proofErr w:type="spellEnd"/>
      <w:r>
        <w:t>-French model used in this research. Each subchapter, will showcase the results of one regression.</w:t>
      </w:r>
    </w:p>
    <w:p w14:paraId="175E7577" w14:textId="3A28C3CF" w:rsidR="009C43D2" w:rsidRDefault="009C43D2" w:rsidP="00CF1860">
      <w:pPr>
        <w:spacing w:line="360" w:lineRule="auto"/>
      </w:pPr>
    </w:p>
    <w:p w14:paraId="48ECB3CA" w14:textId="3BBA332F" w:rsidR="00C077C0" w:rsidRDefault="00C077C0" w:rsidP="00CF1860">
      <w:pPr>
        <w:spacing w:line="360" w:lineRule="auto"/>
      </w:pPr>
    </w:p>
    <w:p w14:paraId="714A7401" w14:textId="7E25F012" w:rsidR="00C077C0" w:rsidRPr="000F702A" w:rsidRDefault="000A6E41" w:rsidP="000F702A">
      <w:pPr>
        <w:pStyle w:val="Heading2"/>
        <w:rPr>
          <w:rFonts w:ascii="Times New Roman" w:hAnsi="Times New Roman" w:cs="Times New Roman"/>
          <w:b/>
          <w:bCs/>
          <w:color w:val="000000" w:themeColor="text1"/>
          <w:sz w:val="24"/>
          <w:szCs w:val="24"/>
        </w:rPr>
      </w:pPr>
      <w:bookmarkStart w:id="24" w:name="_Toc102301210"/>
      <w:bookmarkStart w:id="25" w:name="_Toc103963053"/>
      <w:r w:rsidRPr="000F702A">
        <w:rPr>
          <w:rFonts w:ascii="Times New Roman" w:hAnsi="Times New Roman" w:cs="Times New Roman"/>
          <w:b/>
          <w:bCs/>
          <w:color w:val="000000" w:themeColor="text1"/>
          <w:sz w:val="24"/>
          <w:szCs w:val="24"/>
        </w:rPr>
        <w:t>4</w:t>
      </w:r>
      <w:r w:rsidR="00C077C0" w:rsidRPr="000F702A">
        <w:rPr>
          <w:rFonts w:ascii="Times New Roman" w:hAnsi="Times New Roman" w:cs="Times New Roman"/>
          <w:b/>
          <w:bCs/>
          <w:color w:val="000000" w:themeColor="text1"/>
          <w:sz w:val="24"/>
          <w:szCs w:val="24"/>
        </w:rPr>
        <w:t>.1 SMB Factor</w:t>
      </w:r>
      <w:bookmarkEnd w:id="24"/>
      <w:bookmarkEnd w:id="25"/>
    </w:p>
    <w:p w14:paraId="07047F9D" w14:textId="52A05BB6" w:rsidR="00C077C0" w:rsidRDefault="00C077C0" w:rsidP="00CF1860">
      <w:pPr>
        <w:spacing w:line="360" w:lineRule="auto"/>
        <w:rPr>
          <w:b/>
          <w:bCs/>
        </w:rPr>
      </w:pPr>
    </w:p>
    <w:p w14:paraId="6CEB3F5D" w14:textId="45CF42DE" w:rsidR="00C077C0" w:rsidRDefault="00C077C0" w:rsidP="00084E97">
      <w:pPr>
        <w:spacing w:line="360" w:lineRule="auto"/>
        <w:ind w:firstLine="720"/>
      </w:pPr>
      <w:r>
        <w:t xml:space="preserve">This subchapter carries the title of the factor of size in the </w:t>
      </w:r>
      <w:proofErr w:type="spellStart"/>
      <w:r>
        <w:t>Fama</w:t>
      </w:r>
      <w:proofErr w:type="spellEnd"/>
      <w:r>
        <w:t>-French Model, SMB, which stands for small minus big. Here, the long leg consists of</w:t>
      </w:r>
      <w:r w:rsidR="00A3236E">
        <w:t xml:space="preserve"> small-cap companies. After running the regression on the respondents that own such stocks in their portfolios, we will try to draw some </w:t>
      </w:r>
      <w:r w:rsidR="00F26E07">
        <w:t xml:space="preserve">observations </w:t>
      </w:r>
      <w:r w:rsidR="00A3236E">
        <w:t>on the drivers of this investing behavior.</w:t>
      </w:r>
    </w:p>
    <w:p w14:paraId="7495E33D" w14:textId="353B9D16" w:rsidR="00AD6E9A" w:rsidRPr="00045DB2" w:rsidRDefault="00AD6E9A" w:rsidP="00CF1860">
      <w:pPr>
        <w:spacing w:line="360" w:lineRule="auto"/>
        <w:rPr>
          <w:i/>
          <w:iCs/>
        </w:rPr>
      </w:pPr>
    </w:p>
    <w:p w14:paraId="60E4B270" w14:textId="25674B4D" w:rsidR="00AD6E9A" w:rsidRDefault="00AD6E9A" w:rsidP="00CF1860">
      <w:pPr>
        <w:spacing w:line="360" w:lineRule="auto"/>
        <w:rPr>
          <w:b/>
          <w:bCs/>
          <w:i/>
          <w:iCs/>
        </w:rPr>
      </w:pPr>
      <w:r w:rsidRPr="00045DB2">
        <w:rPr>
          <w:b/>
          <w:bCs/>
          <w:i/>
          <w:iCs/>
        </w:rPr>
        <w:t>Regression Output</w:t>
      </w:r>
    </w:p>
    <w:p w14:paraId="06C08AEA" w14:textId="409EF49B" w:rsidR="00D141B2" w:rsidRPr="005B1A68" w:rsidRDefault="005B1A68" w:rsidP="00CF1860">
      <w:pPr>
        <w:spacing w:line="360" w:lineRule="auto"/>
        <w:rPr>
          <w:i/>
          <w:sz w:val="20"/>
          <w:szCs w:val="20"/>
        </w:rPr>
      </w:pPr>
      <m:oMathPara>
        <m:oMathParaPr>
          <m:jc m:val="left"/>
        </m:oMathParaPr>
        <m:oMath>
          <m:r>
            <w:rPr>
              <w:rFonts w:ascii="Cambria Math" w:eastAsiaTheme="minorHAnsi" w:hAnsi="Cambria Math"/>
              <w:sz w:val="20"/>
              <w:szCs w:val="20"/>
              <w:lang w:eastAsia="en-US"/>
            </w:rPr>
            <m:t>famafrenc</m:t>
          </m:r>
          <m:sSub>
            <m:sSubPr>
              <m:ctrlPr>
                <w:rPr>
                  <w:rFonts w:ascii="Cambria Math" w:eastAsiaTheme="minorHAnsi" w:hAnsi="Cambria Math"/>
                  <w:i/>
                  <w:sz w:val="20"/>
                  <w:szCs w:val="20"/>
                  <w:lang w:eastAsia="en-US"/>
                </w:rPr>
              </m:ctrlPr>
            </m:sSubPr>
            <m:e>
              <m:r>
                <w:rPr>
                  <w:rFonts w:ascii="Cambria Math" w:eastAsiaTheme="minorHAnsi" w:hAnsi="Cambria Math"/>
                  <w:sz w:val="20"/>
                  <w:szCs w:val="20"/>
                  <w:lang w:eastAsia="en-US"/>
                </w:rPr>
                <m:t>h</m:t>
              </m:r>
            </m:e>
            <m:sub>
              <m:r>
                <w:rPr>
                  <w:rFonts w:ascii="Cambria Math" w:eastAsiaTheme="minorHAnsi" w:hAnsi="Cambria Math"/>
                  <w:sz w:val="20"/>
                  <w:szCs w:val="20"/>
                  <w:lang w:eastAsia="en-US"/>
                </w:rPr>
                <m:t>size</m:t>
              </m:r>
            </m:sub>
          </m:sSub>
          <m:r>
            <w:rPr>
              <w:rFonts w:ascii="Cambria Math" w:hAnsi="Cambria Math"/>
              <w:sz w:val="20"/>
              <w:szCs w:val="20"/>
            </w:rPr>
            <m:t>=α+</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wealth</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wealth</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age</m:t>
              </m:r>
            </m:sub>
          </m:sSub>
          <m:d>
            <m:dPr>
              <m:ctrlPr>
                <w:rPr>
                  <w:rFonts w:ascii="Cambria Math" w:hAnsi="Cambria Math"/>
                  <w:i/>
                  <w:sz w:val="20"/>
                  <w:szCs w:val="20"/>
                </w:rPr>
              </m:ctrlPr>
            </m:dPr>
            <m:e>
              <m:r>
                <w:rPr>
                  <w:rFonts w:ascii="Cambria Math" w:hAnsi="Cambria Math"/>
                  <w:sz w:val="20"/>
                  <w:szCs w:val="20"/>
                </w:rPr>
                <m:t>age</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sz w:val="20"/>
                          <w:szCs w:val="20"/>
                        </w:rPr>
                      </m:ctrlPr>
                    </m:dPr>
                    <m:e>
                      <m:r>
                        <m:rPr>
                          <m:sty m:val="p"/>
                        </m:rPr>
                        <w:rPr>
                          <w:rFonts w:ascii="Cambria Math" w:hAnsi="Cambria Math"/>
                          <w:sz w:val="20"/>
                          <w:szCs w:val="20"/>
                        </w:rPr>
                        <m:t>income</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income</m:t>
              </m:r>
            </m:e>
          </m:d>
          <m:r>
            <m:rPr>
              <m:sty m:val="b"/>
            </m:rPr>
            <w:rPr>
              <w:rFonts w:asci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gender</m:t>
              </m:r>
            </m:sub>
          </m:sSub>
          <m:d>
            <m:dPr>
              <m:ctrlPr>
                <w:rPr>
                  <w:rFonts w:ascii="Cambria Math" w:hAnsi="Cambria Math"/>
                  <w:i/>
                  <w:sz w:val="20"/>
                  <w:szCs w:val="20"/>
                </w:rPr>
              </m:ctrlPr>
            </m:dPr>
            <m:e>
              <m:r>
                <w:rPr>
                  <w:rFonts w:ascii="Cambria Math" w:hAnsi="Cambria Math"/>
                  <w:sz w:val="20"/>
                  <w:szCs w:val="20"/>
                </w:rPr>
                <m:t>gender</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education</m:t>
              </m:r>
            </m:sub>
          </m:sSub>
          <m:d>
            <m:dPr>
              <m:ctrlPr>
                <w:rPr>
                  <w:rFonts w:ascii="Cambria Math" w:hAnsi="Cambria Math"/>
                  <w:i/>
                  <w:sz w:val="20"/>
                  <w:szCs w:val="20"/>
                </w:rPr>
              </m:ctrlPr>
            </m:dPr>
            <m:e>
              <m:r>
                <w:rPr>
                  <w:rFonts w:ascii="Cambria Math" w:hAnsi="Cambria Math"/>
                  <w:sz w:val="20"/>
                  <w:szCs w:val="20"/>
                </w:rPr>
                <m:t>education</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accommodation</m:t>
              </m:r>
            </m:sub>
          </m:sSub>
          <m:r>
            <w:rPr>
              <w:rFonts w:ascii="Cambria Math" w:hAnsi="Cambria Math"/>
              <w:sz w:val="20"/>
              <w:szCs w:val="20"/>
            </w:rPr>
            <m:t>accommodation+</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partner</m:t>
              </m:r>
            </m:sub>
          </m:sSub>
          <m:d>
            <m:dPr>
              <m:ctrlPr>
                <w:rPr>
                  <w:rFonts w:ascii="Cambria Math" w:hAnsi="Cambria Math"/>
                  <w:i/>
                  <w:sz w:val="20"/>
                  <w:szCs w:val="20"/>
                </w:rPr>
              </m:ctrlPr>
            </m:dPr>
            <m:e>
              <m:r>
                <w:rPr>
                  <w:rFonts w:ascii="Cambria Math" w:hAnsi="Cambria Math"/>
                  <w:sz w:val="20"/>
                  <w:szCs w:val="20"/>
                </w:rPr>
                <m:t>partner</m:t>
              </m:r>
            </m:e>
          </m:d>
        </m:oMath>
      </m:oMathPara>
    </w:p>
    <w:p w14:paraId="2D1AAC3C" w14:textId="77777777" w:rsidR="005B1A68" w:rsidRPr="000E0F91" w:rsidRDefault="005B1A68" w:rsidP="00CF1860">
      <w:pPr>
        <w:spacing w:line="360" w:lineRule="auto"/>
        <w:rPr>
          <w:b/>
          <w:bCs/>
          <w:i/>
          <w:iCs/>
        </w:rPr>
      </w:pPr>
    </w:p>
    <w:tbl>
      <w:tblPr>
        <w:tblW w:w="9425" w:type="dxa"/>
        <w:tblBorders>
          <w:top w:val="double" w:sz="4" w:space="0" w:color="auto"/>
          <w:bottom w:val="double" w:sz="4" w:space="0" w:color="auto"/>
        </w:tblBorders>
        <w:tblLook w:val="04A0" w:firstRow="1" w:lastRow="0" w:firstColumn="1" w:lastColumn="0" w:noHBand="0" w:noVBand="1"/>
      </w:tblPr>
      <w:tblGrid>
        <w:gridCol w:w="1885"/>
        <w:gridCol w:w="1885"/>
        <w:gridCol w:w="1885"/>
        <w:gridCol w:w="1885"/>
        <w:gridCol w:w="1885"/>
      </w:tblGrid>
      <w:tr w:rsidR="007515E1" w:rsidRPr="00865A73" w14:paraId="3B4FD5C7" w14:textId="77777777" w:rsidTr="007515E1">
        <w:trPr>
          <w:trHeight w:val="315"/>
        </w:trPr>
        <w:tc>
          <w:tcPr>
            <w:tcW w:w="1885" w:type="dxa"/>
            <w:tcBorders>
              <w:top w:val="double" w:sz="4" w:space="0" w:color="auto"/>
              <w:bottom w:val="double" w:sz="4" w:space="0" w:color="auto"/>
            </w:tcBorders>
            <w:shd w:val="clear" w:color="auto" w:fill="auto"/>
            <w:noWrap/>
            <w:vAlign w:val="bottom"/>
            <w:hideMark/>
          </w:tcPr>
          <w:p w14:paraId="493AE78C" w14:textId="77777777" w:rsidR="00865A73" w:rsidRPr="00865A73" w:rsidRDefault="00865A73" w:rsidP="00865A73">
            <w:pPr>
              <w:jc w:val="center"/>
              <w:rPr>
                <w:i/>
                <w:iCs/>
                <w:color w:val="000000"/>
                <w:sz w:val="22"/>
                <w:szCs w:val="22"/>
              </w:rPr>
            </w:pPr>
            <w:r w:rsidRPr="00865A73">
              <w:rPr>
                <w:i/>
                <w:iCs/>
                <w:color w:val="000000"/>
                <w:sz w:val="22"/>
                <w:szCs w:val="22"/>
              </w:rPr>
              <w:t> </w:t>
            </w:r>
          </w:p>
        </w:tc>
        <w:tc>
          <w:tcPr>
            <w:tcW w:w="1885" w:type="dxa"/>
            <w:tcBorders>
              <w:top w:val="double" w:sz="4" w:space="0" w:color="auto"/>
              <w:bottom w:val="double" w:sz="4" w:space="0" w:color="auto"/>
            </w:tcBorders>
            <w:shd w:val="clear" w:color="auto" w:fill="auto"/>
            <w:noWrap/>
            <w:vAlign w:val="center"/>
            <w:hideMark/>
          </w:tcPr>
          <w:p w14:paraId="73D1CD1C" w14:textId="77777777" w:rsidR="00865A73" w:rsidRPr="00865A73" w:rsidRDefault="00865A73" w:rsidP="00865A73">
            <w:pPr>
              <w:jc w:val="center"/>
              <w:rPr>
                <w:i/>
                <w:iCs/>
                <w:color w:val="000000"/>
                <w:sz w:val="22"/>
                <w:szCs w:val="22"/>
              </w:rPr>
            </w:pPr>
            <w:r w:rsidRPr="00865A73">
              <w:rPr>
                <w:i/>
                <w:iCs/>
                <w:color w:val="000000"/>
                <w:sz w:val="22"/>
                <w:szCs w:val="22"/>
              </w:rPr>
              <w:t>Coefficients</w:t>
            </w:r>
          </w:p>
        </w:tc>
        <w:tc>
          <w:tcPr>
            <w:tcW w:w="1885" w:type="dxa"/>
            <w:tcBorders>
              <w:top w:val="double" w:sz="4" w:space="0" w:color="auto"/>
              <w:bottom w:val="double" w:sz="4" w:space="0" w:color="auto"/>
            </w:tcBorders>
            <w:shd w:val="clear" w:color="auto" w:fill="auto"/>
            <w:noWrap/>
            <w:vAlign w:val="center"/>
            <w:hideMark/>
          </w:tcPr>
          <w:p w14:paraId="52B6908D" w14:textId="77777777" w:rsidR="00865A73" w:rsidRPr="00865A73" w:rsidRDefault="00865A73" w:rsidP="00865A73">
            <w:pPr>
              <w:jc w:val="center"/>
              <w:rPr>
                <w:i/>
                <w:iCs/>
                <w:color w:val="000000"/>
                <w:sz w:val="22"/>
                <w:szCs w:val="22"/>
              </w:rPr>
            </w:pPr>
            <w:r w:rsidRPr="00865A73">
              <w:rPr>
                <w:i/>
                <w:iCs/>
                <w:color w:val="000000"/>
                <w:sz w:val="22"/>
                <w:szCs w:val="22"/>
              </w:rPr>
              <w:t>Standard Error</w:t>
            </w:r>
          </w:p>
        </w:tc>
        <w:tc>
          <w:tcPr>
            <w:tcW w:w="1885" w:type="dxa"/>
            <w:tcBorders>
              <w:top w:val="double" w:sz="4" w:space="0" w:color="auto"/>
              <w:bottom w:val="double" w:sz="4" w:space="0" w:color="auto"/>
            </w:tcBorders>
            <w:shd w:val="clear" w:color="auto" w:fill="auto"/>
            <w:noWrap/>
            <w:vAlign w:val="center"/>
            <w:hideMark/>
          </w:tcPr>
          <w:p w14:paraId="40D441EC" w14:textId="77777777" w:rsidR="00865A73" w:rsidRPr="00865A73" w:rsidRDefault="00865A73" w:rsidP="00865A73">
            <w:pPr>
              <w:jc w:val="center"/>
              <w:rPr>
                <w:i/>
                <w:iCs/>
                <w:color w:val="000000"/>
                <w:sz w:val="22"/>
                <w:szCs w:val="22"/>
              </w:rPr>
            </w:pPr>
            <w:r w:rsidRPr="00865A73">
              <w:rPr>
                <w:i/>
                <w:iCs/>
                <w:color w:val="000000"/>
                <w:sz w:val="22"/>
                <w:szCs w:val="22"/>
              </w:rPr>
              <w:t>t Stat</w:t>
            </w:r>
          </w:p>
        </w:tc>
        <w:tc>
          <w:tcPr>
            <w:tcW w:w="1885" w:type="dxa"/>
            <w:tcBorders>
              <w:top w:val="double" w:sz="4" w:space="0" w:color="auto"/>
              <w:bottom w:val="double" w:sz="4" w:space="0" w:color="auto"/>
            </w:tcBorders>
            <w:shd w:val="clear" w:color="auto" w:fill="auto"/>
            <w:noWrap/>
            <w:vAlign w:val="center"/>
            <w:hideMark/>
          </w:tcPr>
          <w:p w14:paraId="29F1C644" w14:textId="77777777" w:rsidR="00865A73" w:rsidRPr="00865A73" w:rsidRDefault="00865A73" w:rsidP="00865A73">
            <w:pPr>
              <w:jc w:val="center"/>
              <w:rPr>
                <w:i/>
                <w:iCs/>
                <w:color w:val="000000"/>
                <w:sz w:val="22"/>
                <w:szCs w:val="22"/>
              </w:rPr>
            </w:pPr>
            <w:r w:rsidRPr="00865A73">
              <w:rPr>
                <w:i/>
                <w:iCs/>
                <w:color w:val="000000"/>
                <w:sz w:val="22"/>
                <w:szCs w:val="22"/>
              </w:rPr>
              <w:t>P-value</w:t>
            </w:r>
          </w:p>
        </w:tc>
      </w:tr>
      <w:tr w:rsidR="00865A73" w:rsidRPr="00865A73" w14:paraId="27433F6D" w14:textId="77777777" w:rsidTr="007515E1">
        <w:trPr>
          <w:trHeight w:val="315"/>
        </w:trPr>
        <w:tc>
          <w:tcPr>
            <w:tcW w:w="1885" w:type="dxa"/>
            <w:tcBorders>
              <w:top w:val="double" w:sz="4" w:space="0" w:color="auto"/>
            </w:tcBorders>
            <w:shd w:val="clear" w:color="auto" w:fill="auto"/>
            <w:noWrap/>
            <w:vAlign w:val="bottom"/>
            <w:hideMark/>
          </w:tcPr>
          <w:p w14:paraId="00C8FA2E" w14:textId="77777777" w:rsidR="00865A73" w:rsidRPr="00865A73" w:rsidRDefault="00865A73" w:rsidP="00865A73">
            <w:pPr>
              <w:rPr>
                <w:i/>
                <w:iCs/>
                <w:color w:val="000000"/>
                <w:sz w:val="22"/>
                <w:szCs w:val="22"/>
              </w:rPr>
            </w:pPr>
            <w:r w:rsidRPr="00865A73">
              <w:rPr>
                <w:i/>
                <w:iCs/>
                <w:color w:val="000000"/>
                <w:sz w:val="22"/>
                <w:szCs w:val="22"/>
              </w:rPr>
              <w:t>Intercept</w:t>
            </w:r>
          </w:p>
        </w:tc>
        <w:tc>
          <w:tcPr>
            <w:tcW w:w="1885" w:type="dxa"/>
            <w:tcBorders>
              <w:top w:val="double" w:sz="4" w:space="0" w:color="auto"/>
            </w:tcBorders>
            <w:shd w:val="clear" w:color="auto" w:fill="auto"/>
            <w:noWrap/>
            <w:vAlign w:val="bottom"/>
            <w:hideMark/>
          </w:tcPr>
          <w:p w14:paraId="393263BE" w14:textId="3E92FBEB" w:rsidR="00865A73" w:rsidRPr="00865A73" w:rsidRDefault="00865A73" w:rsidP="00865A73">
            <w:pPr>
              <w:jc w:val="right"/>
              <w:rPr>
                <w:color w:val="000000"/>
                <w:sz w:val="22"/>
                <w:szCs w:val="22"/>
              </w:rPr>
            </w:pPr>
            <w:r w:rsidRPr="00865A73">
              <w:rPr>
                <w:color w:val="000000"/>
                <w:sz w:val="22"/>
                <w:szCs w:val="22"/>
              </w:rPr>
              <w:t>0,155</w:t>
            </w:r>
          </w:p>
        </w:tc>
        <w:tc>
          <w:tcPr>
            <w:tcW w:w="1885" w:type="dxa"/>
            <w:tcBorders>
              <w:top w:val="double" w:sz="4" w:space="0" w:color="auto"/>
            </w:tcBorders>
            <w:shd w:val="clear" w:color="auto" w:fill="auto"/>
            <w:noWrap/>
            <w:vAlign w:val="bottom"/>
            <w:hideMark/>
          </w:tcPr>
          <w:p w14:paraId="5D29503B" w14:textId="35904B41" w:rsidR="00865A73" w:rsidRPr="00865A73" w:rsidRDefault="00865A73" w:rsidP="00865A73">
            <w:pPr>
              <w:jc w:val="right"/>
              <w:rPr>
                <w:color w:val="000000"/>
                <w:sz w:val="22"/>
                <w:szCs w:val="22"/>
              </w:rPr>
            </w:pPr>
            <w:r w:rsidRPr="00865A73">
              <w:rPr>
                <w:color w:val="000000"/>
                <w:sz w:val="22"/>
                <w:szCs w:val="22"/>
              </w:rPr>
              <w:t>0,041</w:t>
            </w:r>
          </w:p>
        </w:tc>
        <w:tc>
          <w:tcPr>
            <w:tcW w:w="1885" w:type="dxa"/>
            <w:tcBorders>
              <w:top w:val="double" w:sz="4" w:space="0" w:color="auto"/>
            </w:tcBorders>
            <w:shd w:val="clear" w:color="auto" w:fill="auto"/>
            <w:noWrap/>
            <w:vAlign w:val="bottom"/>
            <w:hideMark/>
          </w:tcPr>
          <w:p w14:paraId="14F7D56E" w14:textId="00B38A72" w:rsidR="00865A73" w:rsidRPr="00865A73" w:rsidRDefault="00865A73" w:rsidP="00865A73">
            <w:pPr>
              <w:jc w:val="right"/>
              <w:rPr>
                <w:color w:val="000000"/>
                <w:sz w:val="22"/>
                <w:szCs w:val="22"/>
              </w:rPr>
            </w:pPr>
            <w:r w:rsidRPr="00865A73">
              <w:rPr>
                <w:color w:val="000000"/>
                <w:sz w:val="22"/>
                <w:szCs w:val="22"/>
              </w:rPr>
              <w:t>3,772</w:t>
            </w:r>
          </w:p>
        </w:tc>
        <w:tc>
          <w:tcPr>
            <w:tcW w:w="1885" w:type="dxa"/>
            <w:tcBorders>
              <w:top w:val="double" w:sz="4" w:space="0" w:color="auto"/>
            </w:tcBorders>
            <w:shd w:val="clear" w:color="auto" w:fill="auto"/>
            <w:noWrap/>
            <w:vAlign w:val="bottom"/>
            <w:hideMark/>
          </w:tcPr>
          <w:p w14:paraId="02C3A951" w14:textId="3EB61FCC" w:rsidR="00865A73" w:rsidRPr="00865A73" w:rsidRDefault="00865A73" w:rsidP="00865A73">
            <w:pPr>
              <w:jc w:val="right"/>
              <w:rPr>
                <w:color w:val="000000"/>
                <w:sz w:val="22"/>
                <w:szCs w:val="22"/>
              </w:rPr>
            </w:pPr>
            <w:r w:rsidRPr="00865A73">
              <w:rPr>
                <w:color w:val="000000"/>
                <w:sz w:val="22"/>
                <w:szCs w:val="22"/>
              </w:rPr>
              <w:t>0,000</w:t>
            </w:r>
          </w:p>
        </w:tc>
      </w:tr>
      <w:tr w:rsidR="00D00F27" w:rsidRPr="00865A73" w14:paraId="2CD7358D" w14:textId="77777777" w:rsidTr="007515E1">
        <w:trPr>
          <w:trHeight w:val="315"/>
        </w:trPr>
        <w:tc>
          <w:tcPr>
            <w:tcW w:w="1885" w:type="dxa"/>
            <w:shd w:val="clear" w:color="auto" w:fill="auto"/>
            <w:noWrap/>
            <w:vAlign w:val="bottom"/>
          </w:tcPr>
          <w:p w14:paraId="65199F98" w14:textId="2C6F9E88" w:rsidR="00D00F27" w:rsidRPr="00865A73" w:rsidRDefault="00D00F27" w:rsidP="00D00F27">
            <w:pPr>
              <w:rPr>
                <w:i/>
                <w:iCs/>
                <w:color w:val="000000"/>
                <w:sz w:val="22"/>
                <w:szCs w:val="22"/>
              </w:rPr>
            </w:pPr>
            <w:r w:rsidRPr="00865A73">
              <w:rPr>
                <w:i/>
                <w:iCs/>
                <w:color w:val="000000"/>
                <w:sz w:val="22"/>
                <w:szCs w:val="22"/>
              </w:rPr>
              <w:t>log(</w:t>
            </w:r>
            <w:proofErr w:type="spellStart"/>
            <w:r>
              <w:rPr>
                <w:i/>
                <w:iCs/>
                <w:color w:val="000000"/>
                <w:sz w:val="22"/>
                <w:szCs w:val="22"/>
                <w:lang w:val="es-ES"/>
              </w:rPr>
              <w:t>wealth</w:t>
            </w:r>
            <w:proofErr w:type="spellEnd"/>
            <w:r w:rsidRPr="00865A73">
              <w:rPr>
                <w:i/>
                <w:iCs/>
                <w:color w:val="000000"/>
                <w:sz w:val="22"/>
                <w:szCs w:val="22"/>
              </w:rPr>
              <w:t>)</w:t>
            </w:r>
          </w:p>
        </w:tc>
        <w:tc>
          <w:tcPr>
            <w:tcW w:w="1885" w:type="dxa"/>
            <w:shd w:val="clear" w:color="auto" w:fill="auto"/>
            <w:noWrap/>
            <w:vAlign w:val="bottom"/>
          </w:tcPr>
          <w:p w14:paraId="230C7571" w14:textId="51218838" w:rsidR="00D00F27" w:rsidRPr="00865A73" w:rsidRDefault="00D00F27" w:rsidP="00D00F27">
            <w:pPr>
              <w:jc w:val="right"/>
              <w:rPr>
                <w:color w:val="000000"/>
                <w:sz w:val="22"/>
                <w:szCs w:val="22"/>
              </w:rPr>
            </w:pPr>
            <w:r w:rsidRPr="00865A73">
              <w:rPr>
                <w:color w:val="000000"/>
                <w:sz w:val="22"/>
                <w:szCs w:val="22"/>
              </w:rPr>
              <w:t>-0,00</w:t>
            </w:r>
            <w:r>
              <w:rPr>
                <w:color w:val="000000"/>
                <w:sz w:val="22"/>
                <w:szCs w:val="22"/>
                <w:lang w:val="es-ES"/>
              </w:rPr>
              <w:t>4</w:t>
            </w:r>
          </w:p>
        </w:tc>
        <w:tc>
          <w:tcPr>
            <w:tcW w:w="1885" w:type="dxa"/>
            <w:shd w:val="clear" w:color="auto" w:fill="auto"/>
            <w:noWrap/>
            <w:vAlign w:val="bottom"/>
          </w:tcPr>
          <w:p w14:paraId="3002471E" w14:textId="0E73AAC2" w:rsidR="00D00F27" w:rsidRPr="00865A73" w:rsidRDefault="00D00F27" w:rsidP="00D00F27">
            <w:pPr>
              <w:jc w:val="right"/>
              <w:rPr>
                <w:color w:val="000000"/>
                <w:sz w:val="22"/>
                <w:szCs w:val="22"/>
              </w:rPr>
            </w:pPr>
            <w:r w:rsidRPr="00865A73">
              <w:rPr>
                <w:color w:val="000000"/>
                <w:sz w:val="22"/>
                <w:szCs w:val="22"/>
              </w:rPr>
              <w:t>0,00</w:t>
            </w:r>
            <w:r>
              <w:rPr>
                <w:color w:val="000000"/>
                <w:sz w:val="22"/>
                <w:szCs w:val="22"/>
                <w:lang w:val="es-ES"/>
              </w:rPr>
              <w:t>5</w:t>
            </w:r>
          </w:p>
        </w:tc>
        <w:tc>
          <w:tcPr>
            <w:tcW w:w="1885" w:type="dxa"/>
            <w:shd w:val="clear" w:color="auto" w:fill="auto"/>
            <w:noWrap/>
            <w:vAlign w:val="bottom"/>
          </w:tcPr>
          <w:p w14:paraId="626F2649" w14:textId="066A82DC" w:rsidR="00D00F27" w:rsidRPr="00865A73" w:rsidRDefault="00D00F27" w:rsidP="00D00F27">
            <w:pPr>
              <w:jc w:val="right"/>
              <w:rPr>
                <w:color w:val="000000"/>
                <w:sz w:val="22"/>
                <w:szCs w:val="22"/>
              </w:rPr>
            </w:pPr>
            <w:r w:rsidRPr="00865A73">
              <w:rPr>
                <w:color w:val="000000"/>
                <w:sz w:val="22"/>
                <w:szCs w:val="22"/>
              </w:rPr>
              <w:t>-0,735</w:t>
            </w:r>
          </w:p>
        </w:tc>
        <w:tc>
          <w:tcPr>
            <w:tcW w:w="1885" w:type="dxa"/>
            <w:shd w:val="clear" w:color="auto" w:fill="auto"/>
            <w:noWrap/>
            <w:vAlign w:val="bottom"/>
          </w:tcPr>
          <w:p w14:paraId="5D1C96EF" w14:textId="3F2AF61B" w:rsidR="00D00F27" w:rsidRPr="00865A73" w:rsidRDefault="00D00F27" w:rsidP="00D00F27">
            <w:pPr>
              <w:jc w:val="right"/>
              <w:rPr>
                <w:color w:val="000000"/>
                <w:sz w:val="22"/>
                <w:szCs w:val="22"/>
              </w:rPr>
            </w:pPr>
            <w:r w:rsidRPr="00865A73">
              <w:rPr>
                <w:color w:val="000000"/>
                <w:sz w:val="22"/>
                <w:szCs w:val="22"/>
              </w:rPr>
              <w:t>0,462</w:t>
            </w:r>
          </w:p>
        </w:tc>
      </w:tr>
      <w:tr w:rsidR="00D00F27" w:rsidRPr="00865A73" w14:paraId="60C6FF37" w14:textId="77777777" w:rsidTr="007515E1">
        <w:trPr>
          <w:trHeight w:val="315"/>
        </w:trPr>
        <w:tc>
          <w:tcPr>
            <w:tcW w:w="1885" w:type="dxa"/>
            <w:shd w:val="clear" w:color="auto" w:fill="auto"/>
            <w:noWrap/>
            <w:vAlign w:val="bottom"/>
            <w:hideMark/>
          </w:tcPr>
          <w:p w14:paraId="59E4F883" w14:textId="77777777" w:rsidR="00D00F27" w:rsidRPr="00865A73" w:rsidRDefault="00D00F27" w:rsidP="00D00F27">
            <w:pPr>
              <w:rPr>
                <w:i/>
                <w:iCs/>
                <w:color w:val="000000"/>
                <w:sz w:val="22"/>
                <w:szCs w:val="22"/>
              </w:rPr>
            </w:pPr>
            <w:r w:rsidRPr="00865A73">
              <w:rPr>
                <w:i/>
                <w:iCs/>
                <w:color w:val="000000"/>
                <w:sz w:val="22"/>
                <w:szCs w:val="22"/>
              </w:rPr>
              <w:t>age</w:t>
            </w:r>
          </w:p>
        </w:tc>
        <w:tc>
          <w:tcPr>
            <w:tcW w:w="1885" w:type="dxa"/>
            <w:shd w:val="clear" w:color="auto" w:fill="auto"/>
            <w:noWrap/>
            <w:vAlign w:val="bottom"/>
            <w:hideMark/>
          </w:tcPr>
          <w:p w14:paraId="401EA81C" w14:textId="7A6AC27B" w:rsidR="00D00F27" w:rsidRPr="00865A73" w:rsidRDefault="00706AEC" w:rsidP="00D00F27">
            <w:pPr>
              <w:jc w:val="right"/>
              <w:rPr>
                <w:color w:val="000000"/>
                <w:sz w:val="22"/>
                <w:szCs w:val="22"/>
              </w:rPr>
            </w:pPr>
            <w:r>
              <w:rPr>
                <w:color w:val="000000"/>
                <w:sz w:val="22"/>
                <w:szCs w:val="22"/>
                <w:lang w:val="es-ES"/>
              </w:rPr>
              <w:t>&gt;</w:t>
            </w:r>
            <w:r w:rsidR="00D00F27" w:rsidRPr="00865A73">
              <w:rPr>
                <w:color w:val="000000"/>
                <w:sz w:val="22"/>
                <w:szCs w:val="22"/>
              </w:rPr>
              <w:t>0,001</w:t>
            </w:r>
          </w:p>
        </w:tc>
        <w:tc>
          <w:tcPr>
            <w:tcW w:w="1885" w:type="dxa"/>
            <w:shd w:val="clear" w:color="auto" w:fill="auto"/>
            <w:noWrap/>
            <w:vAlign w:val="bottom"/>
            <w:hideMark/>
          </w:tcPr>
          <w:p w14:paraId="732410F0" w14:textId="1B1941F7" w:rsidR="00D00F27" w:rsidRPr="0040484C" w:rsidRDefault="00D00F27" w:rsidP="00D00F27">
            <w:pPr>
              <w:jc w:val="right"/>
              <w:rPr>
                <w:color w:val="000000"/>
                <w:sz w:val="22"/>
                <w:szCs w:val="22"/>
                <w:lang w:val="es-ES"/>
              </w:rPr>
            </w:pPr>
            <w:r w:rsidRPr="00865A73">
              <w:rPr>
                <w:color w:val="000000"/>
                <w:sz w:val="22"/>
                <w:szCs w:val="22"/>
              </w:rPr>
              <w:t>0,00</w:t>
            </w:r>
            <w:r>
              <w:rPr>
                <w:color w:val="000000"/>
                <w:sz w:val="22"/>
                <w:szCs w:val="22"/>
                <w:lang w:val="es-ES"/>
              </w:rPr>
              <w:t>1</w:t>
            </w:r>
          </w:p>
        </w:tc>
        <w:tc>
          <w:tcPr>
            <w:tcW w:w="1885" w:type="dxa"/>
            <w:shd w:val="clear" w:color="auto" w:fill="auto"/>
            <w:noWrap/>
            <w:vAlign w:val="bottom"/>
            <w:hideMark/>
          </w:tcPr>
          <w:p w14:paraId="49AAAE10" w14:textId="0AD557A7" w:rsidR="00D00F27" w:rsidRPr="0040484C" w:rsidRDefault="00D00F27" w:rsidP="00D00F27">
            <w:pPr>
              <w:jc w:val="right"/>
              <w:rPr>
                <w:color w:val="000000"/>
                <w:sz w:val="22"/>
                <w:szCs w:val="22"/>
                <w:lang w:val="es-ES"/>
              </w:rPr>
            </w:pPr>
            <w:r w:rsidRPr="00865A73">
              <w:rPr>
                <w:color w:val="000000"/>
                <w:sz w:val="22"/>
                <w:szCs w:val="22"/>
              </w:rPr>
              <w:t>-2,14</w:t>
            </w:r>
            <w:r>
              <w:rPr>
                <w:color w:val="000000"/>
                <w:sz w:val="22"/>
                <w:szCs w:val="22"/>
                <w:lang w:val="es-ES"/>
              </w:rPr>
              <w:t>4</w:t>
            </w:r>
          </w:p>
        </w:tc>
        <w:tc>
          <w:tcPr>
            <w:tcW w:w="1885" w:type="dxa"/>
            <w:shd w:val="clear" w:color="auto" w:fill="auto"/>
            <w:noWrap/>
            <w:vAlign w:val="bottom"/>
            <w:hideMark/>
          </w:tcPr>
          <w:p w14:paraId="33E484CA" w14:textId="647DD01A" w:rsidR="00D00F27" w:rsidRPr="00865A73" w:rsidRDefault="00D00F27" w:rsidP="00D00F27">
            <w:pPr>
              <w:jc w:val="right"/>
              <w:rPr>
                <w:color w:val="000000"/>
                <w:sz w:val="22"/>
                <w:szCs w:val="22"/>
              </w:rPr>
            </w:pPr>
            <w:r w:rsidRPr="00865A73">
              <w:rPr>
                <w:color w:val="000000"/>
                <w:sz w:val="22"/>
                <w:szCs w:val="22"/>
              </w:rPr>
              <w:t>0,032</w:t>
            </w:r>
          </w:p>
        </w:tc>
      </w:tr>
      <w:tr w:rsidR="00D00F27" w:rsidRPr="00865A73" w14:paraId="68DACF92" w14:textId="77777777" w:rsidTr="007515E1">
        <w:trPr>
          <w:trHeight w:val="315"/>
        </w:trPr>
        <w:tc>
          <w:tcPr>
            <w:tcW w:w="1885" w:type="dxa"/>
            <w:shd w:val="clear" w:color="auto" w:fill="auto"/>
            <w:noWrap/>
            <w:vAlign w:val="bottom"/>
            <w:hideMark/>
          </w:tcPr>
          <w:p w14:paraId="4D39C5E9" w14:textId="5293DE21" w:rsidR="00D00F27" w:rsidRPr="00865A73" w:rsidRDefault="00D00F27" w:rsidP="00D00F27">
            <w:pPr>
              <w:rPr>
                <w:i/>
                <w:iCs/>
                <w:color w:val="000000"/>
                <w:sz w:val="22"/>
                <w:szCs w:val="22"/>
              </w:rPr>
            </w:pPr>
            <w:r w:rsidRPr="00865A73">
              <w:rPr>
                <w:i/>
                <w:iCs/>
                <w:color w:val="000000"/>
                <w:sz w:val="22"/>
                <w:szCs w:val="22"/>
              </w:rPr>
              <w:t>log(</w:t>
            </w:r>
            <w:proofErr w:type="spellStart"/>
            <w:r>
              <w:rPr>
                <w:i/>
                <w:iCs/>
                <w:color w:val="000000"/>
                <w:sz w:val="22"/>
                <w:szCs w:val="22"/>
                <w:lang w:val="es-ES"/>
              </w:rPr>
              <w:t>income</w:t>
            </w:r>
            <w:proofErr w:type="spellEnd"/>
            <w:r w:rsidRPr="00865A73">
              <w:rPr>
                <w:i/>
                <w:iCs/>
                <w:color w:val="000000"/>
                <w:sz w:val="22"/>
                <w:szCs w:val="22"/>
              </w:rPr>
              <w:t>)</w:t>
            </w:r>
          </w:p>
        </w:tc>
        <w:tc>
          <w:tcPr>
            <w:tcW w:w="1885" w:type="dxa"/>
            <w:shd w:val="clear" w:color="auto" w:fill="auto"/>
            <w:noWrap/>
            <w:vAlign w:val="bottom"/>
            <w:hideMark/>
          </w:tcPr>
          <w:p w14:paraId="3C6A48D2" w14:textId="384BBD9C" w:rsidR="00D00F27" w:rsidRPr="0040484C" w:rsidRDefault="00D00F27" w:rsidP="00D00F27">
            <w:pPr>
              <w:jc w:val="right"/>
              <w:rPr>
                <w:color w:val="000000"/>
                <w:sz w:val="22"/>
                <w:szCs w:val="22"/>
                <w:lang w:val="es-ES"/>
              </w:rPr>
            </w:pPr>
            <w:r w:rsidRPr="00865A73">
              <w:rPr>
                <w:color w:val="000000"/>
                <w:sz w:val="22"/>
                <w:szCs w:val="22"/>
              </w:rPr>
              <w:t>0,00</w:t>
            </w:r>
            <w:r>
              <w:rPr>
                <w:color w:val="000000"/>
                <w:sz w:val="22"/>
                <w:szCs w:val="22"/>
                <w:lang w:val="es-ES"/>
              </w:rPr>
              <w:t>1</w:t>
            </w:r>
          </w:p>
        </w:tc>
        <w:tc>
          <w:tcPr>
            <w:tcW w:w="1885" w:type="dxa"/>
            <w:shd w:val="clear" w:color="auto" w:fill="auto"/>
            <w:noWrap/>
            <w:vAlign w:val="bottom"/>
            <w:hideMark/>
          </w:tcPr>
          <w:p w14:paraId="54787D93" w14:textId="788CCE45" w:rsidR="00D00F27" w:rsidRPr="0040484C" w:rsidRDefault="00D00F27" w:rsidP="00D00F27">
            <w:pPr>
              <w:jc w:val="right"/>
              <w:rPr>
                <w:color w:val="000000"/>
                <w:sz w:val="22"/>
                <w:szCs w:val="22"/>
                <w:lang w:val="es-ES"/>
              </w:rPr>
            </w:pPr>
            <w:r w:rsidRPr="00865A73">
              <w:rPr>
                <w:color w:val="000000"/>
                <w:sz w:val="22"/>
                <w:szCs w:val="22"/>
              </w:rPr>
              <w:t>0,004</w:t>
            </w:r>
          </w:p>
        </w:tc>
        <w:tc>
          <w:tcPr>
            <w:tcW w:w="1885" w:type="dxa"/>
            <w:shd w:val="clear" w:color="auto" w:fill="auto"/>
            <w:noWrap/>
            <w:vAlign w:val="bottom"/>
            <w:hideMark/>
          </w:tcPr>
          <w:p w14:paraId="2D764FB6" w14:textId="32344F06" w:rsidR="00D00F27" w:rsidRPr="00865A73" w:rsidRDefault="00D00F27" w:rsidP="00D00F27">
            <w:pPr>
              <w:jc w:val="right"/>
              <w:rPr>
                <w:color w:val="000000"/>
                <w:sz w:val="22"/>
                <w:szCs w:val="22"/>
              </w:rPr>
            </w:pPr>
            <w:r w:rsidRPr="00865A73">
              <w:rPr>
                <w:color w:val="000000"/>
                <w:sz w:val="22"/>
                <w:szCs w:val="22"/>
              </w:rPr>
              <w:t>0,149</w:t>
            </w:r>
          </w:p>
        </w:tc>
        <w:tc>
          <w:tcPr>
            <w:tcW w:w="1885" w:type="dxa"/>
            <w:shd w:val="clear" w:color="auto" w:fill="auto"/>
            <w:noWrap/>
            <w:vAlign w:val="bottom"/>
            <w:hideMark/>
          </w:tcPr>
          <w:p w14:paraId="2EDCD4C2" w14:textId="730882F6" w:rsidR="00D00F27" w:rsidRPr="00865A73" w:rsidRDefault="00D00F27" w:rsidP="00D00F27">
            <w:pPr>
              <w:jc w:val="right"/>
              <w:rPr>
                <w:color w:val="000000"/>
                <w:sz w:val="22"/>
                <w:szCs w:val="22"/>
              </w:rPr>
            </w:pPr>
            <w:r w:rsidRPr="00865A73">
              <w:rPr>
                <w:color w:val="000000"/>
                <w:sz w:val="22"/>
                <w:szCs w:val="22"/>
              </w:rPr>
              <w:t>0,881</w:t>
            </w:r>
          </w:p>
        </w:tc>
      </w:tr>
      <w:tr w:rsidR="00D00F27" w:rsidRPr="00865A73" w14:paraId="0665B68D" w14:textId="77777777" w:rsidTr="007515E1">
        <w:trPr>
          <w:trHeight w:val="315"/>
        </w:trPr>
        <w:tc>
          <w:tcPr>
            <w:tcW w:w="1885" w:type="dxa"/>
            <w:shd w:val="clear" w:color="auto" w:fill="auto"/>
            <w:noWrap/>
            <w:vAlign w:val="bottom"/>
            <w:hideMark/>
          </w:tcPr>
          <w:p w14:paraId="2D59FD9D" w14:textId="78ED0245" w:rsidR="00D00F27" w:rsidRPr="00865A73" w:rsidRDefault="00D00F27" w:rsidP="00D00F27">
            <w:pPr>
              <w:rPr>
                <w:i/>
                <w:iCs/>
                <w:color w:val="000000"/>
                <w:sz w:val="22"/>
                <w:szCs w:val="22"/>
              </w:rPr>
            </w:pPr>
            <w:proofErr w:type="spellStart"/>
            <w:r>
              <w:rPr>
                <w:i/>
                <w:iCs/>
                <w:color w:val="000000"/>
                <w:sz w:val="22"/>
                <w:szCs w:val="22"/>
                <w:lang w:val="es-ES"/>
              </w:rPr>
              <w:t>gender</w:t>
            </w:r>
            <w:proofErr w:type="spellEnd"/>
          </w:p>
        </w:tc>
        <w:tc>
          <w:tcPr>
            <w:tcW w:w="1885" w:type="dxa"/>
            <w:shd w:val="clear" w:color="auto" w:fill="auto"/>
            <w:noWrap/>
            <w:vAlign w:val="bottom"/>
            <w:hideMark/>
          </w:tcPr>
          <w:p w14:paraId="70634740" w14:textId="5470F15C" w:rsidR="00D00F27" w:rsidRPr="0040484C" w:rsidRDefault="00D00F27" w:rsidP="00D00F27">
            <w:pPr>
              <w:jc w:val="right"/>
              <w:rPr>
                <w:color w:val="000000"/>
                <w:sz w:val="22"/>
                <w:szCs w:val="22"/>
                <w:lang w:val="es-ES"/>
              </w:rPr>
            </w:pPr>
            <w:r w:rsidRPr="00865A73">
              <w:rPr>
                <w:color w:val="000000"/>
                <w:sz w:val="22"/>
                <w:szCs w:val="22"/>
              </w:rPr>
              <w:t>-0,00</w:t>
            </w:r>
            <w:r>
              <w:rPr>
                <w:color w:val="000000"/>
                <w:sz w:val="22"/>
                <w:szCs w:val="22"/>
                <w:lang w:val="es-ES"/>
              </w:rPr>
              <w:t>1</w:t>
            </w:r>
          </w:p>
        </w:tc>
        <w:tc>
          <w:tcPr>
            <w:tcW w:w="1885" w:type="dxa"/>
            <w:shd w:val="clear" w:color="auto" w:fill="auto"/>
            <w:noWrap/>
            <w:vAlign w:val="bottom"/>
            <w:hideMark/>
          </w:tcPr>
          <w:p w14:paraId="2BB14C93" w14:textId="68F744D3" w:rsidR="00D00F27" w:rsidRPr="00865A73" w:rsidRDefault="00D00F27" w:rsidP="00D00F27">
            <w:pPr>
              <w:jc w:val="right"/>
              <w:rPr>
                <w:color w:val="000000"/>
                <w:sz w:val="22"/>
                <w:szCs w:val="22"/>
              </w:rPr>
            </w:pPr>
            <w:r w:rsidRPr="00865A73">
              <w:rPr>
                <w:color w:val="000000"/>
                <w:sz w:val="22"/>
                <w:szCs w:val="22"/>
              </w:rPr>
              <w:t>0,01</w:t>
            </w:r>
            <w:r>
              <w:rPr>
                <w:color w:val="000000"/>
                <w:sz w:val="22"/>
                <w:szCs w:val="22"/>
                <w:lang w:val="es-ES"/>
              </w:rPr>
              <w:t>9</w:t>
            </w:r>
          </w:p>
        </w:tc>
        <w:tc>
          <w:tcPr>
            <w:tcW w:w="1885" w:type="dxa"/>
            <w:shd w:val="clear" w:color="auto" w:fill="auto"/>
            <w:noWrap/>
            <w:vAlign w:val="bottom"/>
            <w:hideMark/>
          </w:tcPr>
          <w:p w14:paraId="4BD373A6" w14:textId="49F67259" w:rsidR="00D00F27" w:rsidRPr="00865A73" w:rsidRDefault="00D00F27" w:rsidP="00D00F27">
            <w:pPr>
              <w:jc w:val="right"/>
              <w:rPr>
                <w:color w:val="000000"/>
                <w:sz w:val="22"/>
                <w:szCs w:val="22"/>
              </w:rPr>
            </w:pPr>
            <w:r w:rsidRPr="00865A73">
              <w:rPr>
                <w:color w:val="000000"/>
                <w:sz w:val="22"/>
                <w:szCs w:val="22"/>
              </w:rPr>
              <w:t>-0,044</w:t>
            </w:r>
          </w:p>
        </w:tc>
        <w:tc>
          <w:tcPr>
            <w:tcW w:w="1885" w:type="dxa"/>
            <w:shd w:val="clear" w:color="auto" w:fill="auto"/>
            <w:noWrap/>
            <w:vAlign w:val="bottom"/>
            <w:hideMark/>
          </w:tcPr>
          <w:p w14:paraId="0A0895C1" w14:textId="6857E78D" w:rsidR="00D00F27" w:rsidRPr="00865A73" w:rsidRDefault="00D00F27" w:rsidP="00D00F27">
            <w:pPr>
              <w:jc w:val="right"/>
              <w:rPr>
                <w:color w:val="000000"/>
                <w:sz w:val="22"/>
                <w:szCs w:val="22"/>
              </w:rPr>
            </w:pPr>
            <w:r w:rsidRPr="00865A73">
              <w:rPr>
                <w:color w:val="000000"/>
                <w:sz w:val="22"/>
                <w:szCs w:val="22"/>
              </w:rPr>
              <w:t>0,964</w:t>
            </w:r>
          </w:p>
        </w:tc>
      </w:tr>
      <w:tr w:rsidR="00D00F27" w:rsidRPr="00865A73" w14:paraId="6DD3F24B" w14:textId="77777777" w:rsidTr="007515E1">
        <w:trPr>
          <w:trHeight w:val="315"/>
        </w:trPr>
        <w:tc>
          <w:tcPr>
            <w:tcW w:w="1885" w:type="dxa"/>
            <w:shd w:val="clear" w:color="auto" w:fill="auto"/>
            <w:noWrap/>
            <w:vAlign w:val="bottom"/>
            <w:hideMark/>
          </w:tcPr>
          <w:p w14:paraId="071903DC" w14:textId="323ACBCE" w:rsidR="00D00F27" w:rsidRPr="009C793F" w:rsidRDefault="00D00F27" w:rsidP="00D00F27">
            <w:pPr>
              <w:rPr>
                <w:i/>
                <w:iCs/>
                <w:color w:val="000000"/>
                <w:sz w:val="22"/>
                <w:szCs w:val="22"/>
                <w:lang w:val="es-ES"/>
              </w:rPr>
            </w:pPr>
            <w:proofErr w:type="spellStart"/>
            <w:r>
              <w:rPr>
                <w:i/>
                <w:iCs/>
                <w:color w:val="000000"/>
                <w:sz w:val="22"/>
                <w:szCs w:val="22"/>
                <w:lang w:val="es-ES"/>
              </w:rPr>
              <w:t>education</w:t>
            </w:r>
            <w:proofErr w:type="spellEnd"/>
          </w:p>
        </w:tc>
        <w:tc>
          <w:tcPr>
            <w:tcW w:w="1885" w:type="dxa"/>
            <w:shd w:val="clear" w:color="auto" w:fill="auto"/>
            <w:noWrap/>
            <w:vAlign w:val="bottom"/>
            <w:hideMark/>
          </w:tcPr>
          <w:p w14:paraId="65B5D115" w14:textId="44D3F459" w:rsidR="00D00F27" w:rsidRPr="0040484C" w:rsidRDefault="00D00F27" w:rsidP="00D00F27">
            <w:pPr>
              <w:jc w:val="right"/>
              <w:rPr>
                <w:color w:val="000000"/>
                <w:sz w:val="22"/>
                <w:szCs w:val="22"/>
                <w:lang w:val="es-ES"/>
              </w:rPr>
            </w:pPr>
            <w:r w:rsidRPr="00865A73">
              <w:rPr>
                <w:color w:val="000000"/>
                <w:sz w:val="22"/>
                <w:szCs w:val="22"/>
              </w:rPr>
              <w:t>-0,028</w:t>
            </w:r>
          </w:p>
        </w:tc>
        <w:tc>
          <w:tcPr>
            <w:tcW w:w="1885" w:type="dxa"/>
            <w:shd w:val="clear" w:color="auto" w:fill="auto"/>
            <w:noWrap/>
            <w:vAlign w:val="bottom"/>
            <w:hideMark/>
          </w:tcPr>
          <w:p w14:paraId="0B22FB62" w14:textId="667F4216" w:rsidR="00D00F27" w:rsidRPr="0040484C" w:rsidRDefault="00D00F27" w:rsidP="00D00F27">
            <w:pPr>
              <w:jc w:val="right"/>
              <w:rPr>
                <w:color w:val="000000"/>
                <w:sz w:val="22"/>
                <w:szCs w:val="22"/>
                <w:lang w:val="es-ES"/>
              </w:rPr>
            </w:pPr>
            <w:r w:rsidRPr="00865A73">
              <w:rPr>
                <w:color w:val="000000"/>
                <w:sz w:val="22"/>
                <w:szCs w:val="22"/>
              </w:rPr>
              <w:t>0,017</w:t>
            </w:r>
          </w:p>
        </w:tc>
        <w:tc>
          <w:tcPr>
            <w:tcW w:w="1885" w:type="dxa"/>
            <w:shd w:val="clear" w:color="auto" w:fill="auto"/>
            <w:noWrap/>
            <w:vAlign w:val="bottom"/>
            <w:hideMark/>
          </w:tcPr>
          <w:p w14:paraId="58128F87" w14:textId="06B3406D" w:rsidR="00D00F27" w:rsidRPr="00865A73" w:rsidRDefault="00D00F27" w:rsidP="00D00F27">
            <w:pPr>
              <w:jc w:val="right"/>
              <w:rPr>
                <w:color w:val="000000"/>
                <w:sz w:val="22"/>
                <w:szCs w:val="22"/>
              </w:rPr>
            </w:pPr>
            <w:r w:rsidRPr="00865A73">
              <w:rPr>
                <w:color w:val="000000"/>
                <w:sz w:val="22"/>
                <w:szCs w:val="22"/>
              </w:rPr>
              <w:t>-1,619</w:t>
            </w:r>
          </w:p>
        </w:tc>
        <w:tc>
          <w:tcPr>
            <w:tcW w:w="1885" w:type="dxa"/>
            <w:shd w:val="clear" w:color="auto" w:fill="auto"/>
            <w:noWrap/>
            <w:vAlign w:val="bottom"/>
            <w:hideMark/>
          </w:tcPr>
          <w:p w14:paraId="5B191F55" w14:textId="1DB86686" w:rsidR="00D00F27" w:rsidRPr="00865A73" w:rsidRDefault="00D00F27" w:rsidP="00D00F27">
            <w:pPr>
              <w:jc w:val="right"/>
              <w:rPr>
                <w:color w:val="000000"/>
                <w:sz w:val="22"/>
                <w:szCs w:val="22"/>
              </w:rPr>
            </w:pPr>
            <w:r w:rsidRPr="00865A73">
              <w:rPr>
                <w:color w:val="000000"/>
                <w:sz w:val="22"/>
                <w:szCs w:val="22"/>
              </w:rPr>
              <w:t>0,105</w:t>
            </w:r>
          </w:p>
        </w:tc>
      </w:tr>
      <w:tr w:rsidR="00D00F27" w:rsidRPr="00865A73" w14:paraId="0624FCD2" w14:textId="77777777" w:rsidTr="007515E1">
        <w:trPr>
          <w:trHeight w:val="315"/>
        </w:trPr>
        <w:tc>
          <w:tcPr>
            <w:tcW w:w="1885" w:type="dxa"/>
            <w:shd w:val="clear" w:color="auto" w:fill="auto"/>
            <w:noWrap/>
            <w:vAlign w:val="bottom"/>
            <w:hideMark/>
          </w:tcPr>
          <w:p w14:paraId="77030F18" w14:textId="69736F2A" w:rsidR="00D00F27" w:rsidRPr="009C793F" w:rsidRDefault="00D00F27" w:rsidP="00D00F27">
            <w:pPr>
              <w:rPr>
                <w:i/>
                <w:iCs/>
                <w:color w:val="000000"/>
                <w:sz w:val="22"/>
                <w:szCs w:val="22"/>
                <w:lang w:val="es-ES"/>
              </w:rPr>
            </w:pPr>
            <w:proofErr w:type="spellStart"/>
            <w:r>
              <w:rPr>
                <w:i/>
                <w:iCs/>
                <w:color w:val="000000"/>
                <w:sz w:val="22"/>
                <w:szCs w:val="22"/>
                <w:lang w:val="es-ES"/>
              </w:rPr>
              <w:t>accomodation</w:t>
            </w:r>
            <w:proofErr w:type="spellEnd"/>
          </w:p>
        </w:tc>
        <w:tc>
          <w:tcPr>
            <w:tcW w:w="1885" w:type="dxa"/>
            <w:shd w:val="clear" w:color="auto" w:fill="auto"/>
            <w:noWrap/>
            <w:vAlign w:val="bottom"/>
            <w:hideMark/>
          </w:tcPr>
          <w:p w14:paraId="4B6702A1" w14:textId="1F48DB0C" w:rsidR="00D00F27" w:rsidRPr="00865A73" w:rsidRDefault="00D00F27" w:rsidP="00D00F27">
            <w:pPr>
              <w:jc w:val="right"/>
              <w:rPr>
                <w:color w:val="000000"/>
                <w:sz w:val="22"/>
                <w:szCs w:val="22"/>
              </w:rPr>
            </w:pPr>
            <w:r w:rsidRPr="00865A73">
              <w:rPr>
                <w:color w:val="000000"/>
                <w:sz w:val="22"/>
                <w:szCs w:val="22"/>
              </w:rPr>
              <w:t>0,021</w:t>
            </w:r>
          </w:p>
        </w:tc>
        <w:tc>
          <w:tcPr>
            <w:tcW w:w="1885" w:type="dxa"/>
            <w:shd w:val="clear" w:color="auto" w:fill="auto"/>
            <w:noWrap/>
            <w:vAlign w:val="bottom"/>
            <w:hideMark/>
          </w:tcPr>
          <w:p w14:paraId="49DCBE84" w14:textId="58A35195" w:rsidR="00D00F27" w:rsidRPr="00865A73" w:rsidRDefault="00D00F27" w:rsidP="00D00F27">
            <w:pPr>
              <w:jc w:val="right"/>
              <w:rPr>
                <w:color w:val="000000"/>
                <w:sz w:val="22"/>
                <w:szCs w:val="22"/>
              </w:rPr>
            </w:pPr>
            <w:r w:rsidRPr="00865A73">
              <w:rPr>
                <w:color w:val="000000"/>
                <w:sz w:val="22"/>
                <w:szCs w:val="22"/>
              </w:rPr>
              <w:t>0,024</w:t>
            </w:r>
          </w:p>
        </w:tc>
        <w:tc>
          <w:tcPr>
            <w:tcW w:w="1885" w:type="dxa"/>
            <w:shd w:val="clear" w:color="auto" w:fill="auto"/>
            <w:noWrap/>
            <w:vAlign w:val="bottom"/>
            <w:hideMark/>
          </w:tcPr>
          <w:p w14:paraId="3485BA9A" w14:textId="491F343B" w:rsidR="00D00F27" w:rsidRPr="00865A73" w:rsidRDefault="00D00F27" w:rsidP="00D00F27">
            <w:pPr>
              <w:jc w:val="right"/>
              <w:rPr>
                <w:color w:val="000000"/>
                <w:sz w:val="22"/>
                <w:szCs w:val="22"/>
              </w:rPr>
            </w:pPr>
            <w:r w:rsidRPr="00865A73">
              <w:rPr>
                <w:color w:val="000000"/>
                <w:sz w:val="22"/>
                <w:szCs w:val="22"/>
              </w:rPr>
              <w:t>0,885</w:t>
            </w:r>
          </w:p>
        </w:tc>
        <w:tc>
          <w:tcPr>
            <w:tcW w:w="1885" w:type="dxa"/>
            <w:shd w:val="clear" w:color="auto" w:fill="auto"/>
            <w:noWrap/>
            <w:vAlign w:val="bottom"/>
            <w:hideMark/>
          </w:tcPr>
          <w:p w14:paraId="095467F6" w14:textId="6B33584E" w:rsidR="00D00F27" w:rsidRPr="00865A73" w:rsidRDefault="00D00F27" w:rsidP="00D00F27">
            <w:pPr>
              <w:jc w:val="right"/>
              <w:rPr>
                <w:color w:val="000000"/>
                <w:sz w:val="22"/>
                <w:szCs w:val="22"/>
              </w:rPr>
            </w:pPr>
            <w:r w:rsidRPr="00865A73">
              <w:rPr>
                <w:color w:val="000000"/>
                <w:sz w:val="22"/>
                <w:szCs w:val="22"/>
              </w:rPr>
              <w:t>0,375</w:t>
            </w:r>
          </w:p>
        </w:tc>
      </w:tr>
      <w:tr w:rsidR="00D00F27" w:rsidRPr="00865A73" w14:paraId="0954E25A" w14:textId="77777777" w:rsidTr="007515E1">
        <w:trPr>
          <w:trHeight w:val="315"/>
        </w:trPr>
        <w:tc>
          <w:tcPr>
            <w:tcW w:w="1885" w:type="dxa"/>
            <w:shd w:val="clear" w:color="auto" w:fill="auto"/>
            <w:noWrap/>
            <w:vAlign w:val="bottom"/>
            <w:hideMark/>
          </w:tcPr>
          <w:p w14:paraId="5403BD75" w14:textId="54097B5A" w:rsidR="00D00F27" w:rsidRPr="00E27CEE" w:rsidRDefault="00D00F27" w:rsidP="00D00F27">
            <w:pPr>
              <w:rPr>
                <w:i/>
                <w:iCs/>
                <w:color w:val="000000"/>
                <w:sz w:val="22"/>
                <w:szCs w:val="22"/>
                <w:lang w:val="es-ES"/>
              </w:rPr>
            </w:pPr>
            <w:r w:rsidRPr="00865A73">
              <w:rPr>
                <w:i/>
                <w:iCs/>
                <w:color w:val="000000"/>
                <w:sz w:val="22"/>
                <w:szCs w:val="22"/>
              </w:rPr>
              <w:t>partner</w:t>
            </w:r>
          </w:p>
        </w:tc>
        <w:tc>
          <w:tcPr>
            <w:tcW w:w="1885" w:type="dxa"/>
            <w:shd w:val="clear" w:color="auto" w:fill="auto"/>
            <w:noWrap/>
            <w:vAlign w:val="bottom"/>
            <w:hideMark/>
          </w:tcPr>
          <w:p w14:paraId="2E88220C" w14:textId="1C470F7D" w:rsidR="00D00F27" w:rsidRPr="00865A73" w:rsidRDefault="00D00F27" w:rsidP="00D00F27">
            <w:pPr>
              <w:jc w:val="right"/>
              <w:rPr>
                <w:color w:val="000000"/>
                <w:sz w:val="22"/>
                <w:szCs w:val="22"/>
              </w:rPr>
            </w:pPr>
            <w:r w:rsidRPr="00865A73">
              <w:rPr>
                <w:color w:val="000000"/>
                <w:sz w:val="22"/>
                <w:szCs w:val="22"/>
              </w:rPr>
              <w:t>0,02</w:t>
            </w:r>
            <w:r>
              <w:rPr>
                <w:color w:val="000000"/>
                <w:sz w:val="22"/>
                <w:szCs w:val="22"/>
                <w:lang w:val="es-ES"/>
              </w:rPr>
              <w:t>9</w:t>
            </w:r>
          </w:p>
        </w:tc>
        <w:tc>
          <w:tcPr>
            <w:tcW w:w="1885" w:type="dxa"/>
            <w:shd w:val="clear" w:color="auto" w:fill="auto"/>
            <w:noWrap/>
            <w:vAlign w:val="bottom"/>
            <w:hideMark/>
          </w:tcPr>
          <w:p w14:paraId="378EF975" w14:textId="7BD1275D" w:rsidR="00D00F27" w:rsidRPr="00865A73" w:rsidRDefault="00D00F27" w:rsidP="00D00F27">
            <w:pPr>
              <w:jc w:val="right"/>
              <w:rPr>
                <w:color w:val="000000"/>
                <w:sz w:val="22"/>
                <w:szCs w:val="22"/>
              </w:rPr>
            </w:pPr>
            <w:r w:rsidRPr="00865A73">
              <w:rPr>
                <w:color w:val="000000"/>
                <w:sz w:val="22"/>
                <w:szCs w:val="22"/>
              </w:rPr>
              <w:t>0,018</w:t>
            </w:r>
          </w:p>
        </w:tc>
        <w:tc>
          <w:tcPr>
            <w:tcW w:w="1885" w:type="dxa"/>
            <w:shd w:val="clear" w:color="auto" w:fill="auto"/>
            <w:noWrap/>
            <w:vAlign w:val="bottom"/>
            <w:hideMark/>
          </w:tcPr>
          <w:p w14:paraId="0304C1D8" w14:textId="2EB45F6F" w:rsidR="00D00F27" w:rsidRPr="00865A73" w:rsidRDefault="00D00F27" w:rsidP="00D00F27">
            <w:pPr>
              <w:jc w:val="right"/>
              <w:rPr>
                <w:color w:val="000000"/>
                <w:sz w:val="22"/>
                <w:szCs w:val="22"/>
              </w:rPr>
            </w:pPr>
            <w:r w:rsidRPr="00865A73">
              <w:rPr>
                <w:color w:val="000000"/>
                <w:sz w:val="22"/>
                <w:szCs w:val="22"/>
              </w:rPr>
              <w:t>1,555</w:t>
            </w:r>
          </w:p>
        </w:tc>
        <w:tc>
          <w:tcPr>
            <w:tcW w:w="1885" w:type="dxa"/>
            <w:shd w:val="clear" w:color="auto" w:fill="auto"/>
            <w:noWrap/>
            <w:vAlign w:val="bottom"/>
            <w:hideMark/>
          </w:tcPr>
          <w:p w14:paraId="688D21C1" w14:textId="083B4ABE" w:rsidR="00D00F27" w:rsidRPr="00865A73" w:rsidRDefault="00D00F27" w:rsidP="00D00F27">
            <w:pPr>
              <w:jc w:val="right"/>
              <w:rPr>
                <w:color w:val="000000"/>
                <w:sz w:val="22"/>
                <w:szCs w:val="22"/>
              </w:rPr>
            </w:pPr>
            <w:r w:rsidRPr="00865A73">
              <w:rPr>
                <w:color w:val="000000"/>
                <w:sz w:val="22"/>
                <w:szCs w:val="22"/>
              </w:rPr>
              <w:t>0,119</w:t>
            </w:r>
          </w:p>
        </w:tc>
      </w:tr>
    </w:tbl>
    <w:p w14:paraId="7961C230" w14:textId="1ECFCFE5" w:rsidR="001D50D6" w:rsidRDefault="00267ADE" w:rsidP="00267ADE">
      <w:pPr>
        <w:spacing w:line="360" w:lineRule="auto"/>
        <w:rPr>
          <w:sz w:val="22"/>
          <w:szCs w:val="22"/>
        </w:rPr>
      </w:pPr>
      <w:r>
        <w:rPr>
          <w:i/>
          <w:iCs/>
          <w:sz w:val="22"/>
          <w:szCs w:val="22"/>
        </w:rPr>
        <w:t>N= 1963</w:t>
      </w:r>
      <w:r>
        <w:rPr>
          <w:i/>
          <w:iCs/>
          <w:sz w:val="22"/>
          <w:szCs w:val="22"/>
        </w:rPr>
        <w:tab/>
      </w:r>
      <w:r w:rsidR="00865A73" w:rsidRPr="00267ADE">
        <w:rPr>
          <w:i/>
          <w:iCs/>
          <w:sz w:val="22"/>
          <w:szCs w:val="22"/>
        </w:rPr>
        <w:t>R</w:t>
      </w:r>
      <w:r w:rsidR="00865A73" w:rsidRPr="00267ADE">
        <w:rPr>
          <w:i/>
          <w:iCs/>
          <w:sz w:val="22"/>
          <w:szCs w:val="22"/>
          <w:vertAlign w:val="superscript"/>
        </w:rPr>
        <w:t xml:space="preserve">2 </w:t>
      </w:r>
      <w:r w:rsidR="00865A73" w:rsidRPr="00045DB2">
        <w:rPr>
          <w:sz w:val="22"/>
          <w:szCs w:val="22"/>
        </w:rPr>
        <w:t xml:space="preserve">= 0.006 </w:t>
      </w:r>
      <w:r w:rsidR="00831803" w:rsidRPr="00045DB2">
        <w:rPr>
          <w:sz w:val="22"/>
          <w:szCs w:val="22"/>
        </w:rPr>
        <w:t>4</w:t>
      </w:r>
      <w:r>
        <w:rPr>
          <w:sz w:val="22"/>
          <w:szCs w:val="22"/>
        </w:rPr>
        <w:tab/>
      </w:r>
      <w:r w:rsidR="00865A73" w:rsidRPr="00267ADE">
        <w:rPr>
          <w:i/>
          <w:iCs/>
          <w:sz w:val="22"/>
          <w:szCs w:val="22"/>
        </w:rPr>
        <w:t>Multiple R</w:t>
      </w:r>
      <w:r w:rsidR="00865A73" w:rsidRPr="00267ADE">
        <w:rPr>
          <w:i/>
          <w:iCs/>
          <w:sz w:val="22"/>
          <w:szCs w:val="22"/>
          <w:vertAlign w:val="superscript"/>
        </w:rPr>
        <w:t>2</w:t>
      </w:r>
      <w:r w:rsidR="00865A73" w:rsidRPr="00045DB2">
        <w:rPr>
          <w:sz w:val="22"/>
          <w:szCs w:val="22"/>
        </w:rPr>
        <w:t xml:space="preserve"> =</w:t>
      </w:r>
      <w:r w:rsidR="00831803" w:rsidRPr="00045DB2">
        <w:rPr>
          <w:sz w:val="22"/>
          <w:szCs w:val="22"/>
        </w:rPr>
        <w:t>. 0.080</w:t>
      </w:r>
      <w:r w:rsidR="00D141B2">
        <w:rPr>
          <w:sz w:val="22"/>
          <w:szCs w:val="22"/>
        </w:rPr>
        <w:t xml:space="preserve">. </w:t>
      </w:r>
    </w:p>
    <w:p w14:paraId="397B1C4B" w14:textId="42F93F1D" w:rsidR="00045DB2" w:rsidRDefault="00045DB2" w:rsidP="00045DB2">
      <w:pPr>
        <w:spacing w:line="360" w:lineRule="auto"/>
        <w:rPr>
          <w:sz w:val="22"/>
          <w:szCs w:val="22"/>
        </w:rPr>
      </w:pPr>
    </w:p>
    <w:p w14:paraId="677C6637" w14:textId="30B8F1AC" w:rsidR="00E04E46" w:rsidRDefault="005F0DA9" w:rsidP="00CF1860">
      <w:pPr>
        <w:spacing w:line="360" w:lineRule="auto"/>
      </w:pPr>
      <w:r>
        <w:t>The</w:t>
      </w:r>
      <w:r w:rsidR="002C30E8">
        <w:t xml:space="preserve"> variable </w:t>
      </w:r>
      <w:r w:rsidR="002C30E8">
        <w:rPr>
          <w:i/>
          <w:iCs/>
        </w:rPr>
        <w:t xml:space="preserve">age </w:t>
      </w:r>
      <w:r w:rsidR="002C30E8">
        <w:t xml:space="preserve">is the only variable that can be judged significant under a 95% certainty level. The coefficient for said variable is </w:t>
      </w:r>
      <w:r w:rsidR="002A5040">
        <w:t>positiv</w:t>
      </w:r>
      <w:r w:rsidR="002C30E8">
        <w:t xml:space="preserve">e, therefore, it is correct to conclude that age does have an </w:t>
      </w:r>
      <w:r w:rsidR="002A5040">
        <w:t>association with</w:t>
      </w:r>
      <w:r w:rsidR="002C30E8">
        <w:t xml:space="preserve"> whether some people will decide to invest in small cap companies. In this case, the results indicates that the </w:t>
      </w:r>
      <w:r w:rsidR="00706AEC">
        <w:t>older the person</w:t>
      </w:r>
      <w:r w:rsidR="002C30E8">
        <w:t xml:space="preserve">, the more prone to do </w:t>
      </w:r>
      <w:r w:rsidR="002C30E8">
        <w:lastRenderedPageBreak/>
        <w:t>so. The rest of the variables, are not significant and therefore we cannot reject the null hypothesis</w:t>
      </w:r>
      <w:r w:rsidR="00F53913">
        <w:t>.</w:t>
      </w:r>
    </w:p>
    <w:p w14:paraId="421C0EE7" w14:textId="2884C3E6" w:rsidR="00CE6F0F" w:rsidRDefault="00CE6F0F" w:rsidP="00CF1860">
      <w:pPr>
        <w:spacing w:line="360" w:lineRule="auto"/>
      </w:pPr>
    </w:p>
    <w:p w14:paraId="085C24A7" w14:textId="77777777" w:rsidR="00CE6F0F" w:rsidRPr="00F53913" w:rsidRDefault="00CE6F0F" w:rsidP="00CF1860">
      <w:pPr>
        <w:spacing w:line="360" w:lineRule="auto"/>
      </w:pPr>
    </w:p>
    <w:p w14:paraId="39B5C094" w14:textId="5F4E66B5" w:rsidR="00045DB2" w:rsidRPr="000F702A" w:rsidRDefault="000A6E41" w:rsidP="000F702A">
      <w:pPr>
        <w:pStyle w:val="Heading2"/>
        <w:rPr>
          <w:rFonts w:ascii="Times New Roman" w:hAnsi="Times New Roman" w:cs="Times New Roman"/>
          <w:b/>
          <w:bCs/>
          <w:color w:val="000000" w:themeColor="text1"/>
          <w:sz w:val="24"/>
          <w:szCs w:val="24"/>
        </w:rPr>
      </w:pPr>
      <w:bookmarkStart w:id="26" w:name="_Toc102301211"/>
      <w:bookmarkStart w:id="27" w:name="_Toc103963054"/>
      <w:r w:rsidRPr="000F702A">
        <w:rPr>
          <w:rFonts w:ascii="Times New Roman" w:hAnsi="Times New Roman" w:cs="Times New Roman"/>
          <w:b/>
          <w:bCs/>
          <w:color w:val="000000" w:themeColor="text1"/>
          <w:sz w:val="24"/>
          <w:szCs w:val="24"/>
        </w:rPr>
        <w:t>4</w:t>
      </w:r>
      <w:r w:rsidR="00045DB2" w:rsidRPr="000F702A">
        <w:rPr>
          <w:rFonts w:ascii="Times New Roman" w:hAnsi="Times New Roman" w:cs="Times New Roman"/>
          <w:b/>
          <w:bCs/>
          <w:color w:val="000000" w:themeColor="text1"/>
          <w:sz w:val="24"/>
          <w:szCs w:val="24"/>
        </w:rPr>
        <w:t>.2 HML Factor</w:t>
      </w:r>
      <w:bookmarkEnd w:id="26"/>
      <w:bookmarkEnd w:id="27"/>
    </w:p>
    <w:p w14:paraId="1FF03C64" w14:textId="1C025999" w:rsidR="002C30E8" w:rsidRDefault="002C30E8" w:rsidP="00CF1860">
      <w:pPr>
        <w:spacing w:line="360" w:lineRule="auto"/>
      </w:pPr>
    </w:p>
    <w:p w14:paraId="44503D4F" w14:textId="72B24888" w:rsidR="002C30E8" w:rsidRPr="003028B8" w:rsidRDefault="00844A40" w:rsidP="00084E97">
      <w:pPr>
        <w:spacing w:line="360" w:lineRule="auto"/>
        <w:ind w:firstLine="720"/>
      </w:pPr>
      <w:r>
        <w:t xml:space="preserve">This subchapter </w:t>
      </w:r>
      <w:r w:rsidR="00084E97">
        <w:t>covers</w:t>
      </w:r>
      <w:r>
        <w:t xml:space="preserve"> the </w:t>
      </w:r>
      <w:r w:rsidR="003028B8">
        <w:t>t</w:t>
      </w:r>
      <w:r>
        <w:t xml:space="preserve">hird factor of the </w:t>
      </w:r>
      <w:proofErr w:type="spellStart"/>
      <w:r w:rsidR="003028B8">
        <w:t>Fama</w:t>
      </w:r>
      <w:proofErr w:type="spellEnd"/>
      <w:r w:rsidR="003028B8">
        <w:t xml:space="preserve">-French </w:t>
      </w:r>
      <w:r w:rsidR="00F92217">
        <w:t>five</w:t>
      </w:r>
      <w:r w:rsidR="003028B8">
        <w:t xml:space="preserve"> factor model. </w:t>
      </w:r>
      <w:r w:rsidR="00F92217">
        <w:t>As</w:t>
      </w:r>
      <w:r w:rsidR="00095664">
        <w:t xml:space="preserve"> a</w:t>
      </w:r>
      <w:r w:rsidR="00F92217">
        <w:t xml:space="preserve"> reminder, this factor goes long on high book-to-</w:t>
      </w:r>
      <w:r w:rsidR="008355AC">
        <w:t>market</w:t>
      </w:r>
      <w:r w:rsidR="00BA64B2">
        <w:t>, or value, stocks, and goes short the low book-to-</w:t>
      </w:r>
      <w:r w:rsidR="008355AC">
        <w:t>market</w:t>
      </w:r>
      <w:r w:rsidR="00BA64B2">
        <w:t>, or growth, stocks.</w:t>
      </w:r>
    </w:p>
    <w:p w14:paraId="094B641D" w14:textId="2C4C6209" w:rsidR="00045DB2" w:rsidRDefault="00045DB2" w:rsidP="00CF1860">
      <w:pPr>
        <w:spacing w:line="360" w:lineRule="auto"/>
        <w:rPr>
          <w:b/>
          <w:bCs/>
        </w:rPr>
      </w:pPr>
    </w:p>
    <w:p w14:paraId="0959C146" w14:textId="734E5009" w:rsidR="00045DB2" w:rsidRDefault="00045DB2" w:rsidP="00CF1860">
      <w:pPr>
        <w:spacing w:line="360" w:lineRule="auto"/>
        <w:rPr>
          <w:b/>
          <w:bCs/>
          <w:i/>
          <w:iCs/>
        </w:rPr>
      </w:pPr>
      <w:r>
        <w:rPr>
          <w:b/>
          <w:bCs/>
          <w:i/>
          <w:iCs/>
        </w:rPr>
        <w:t>Regression Output</w:t>
      </w:r>
    </w:p>
    <w:p w14:paraId="1E616C19" w14:textId="73319DD7" w:rsidR="005B1A68" w:rsidRDefault="005B1A68" w:rsidP="00CF1860">
      <w:pPr>
        <w:spacing w:line="360" w:lineRule="auto"/>
        <w:rPr>
          <w:b/>
          <w:bCs/>
          <w:i/>
          <w:iCs/>
        </w:rPr>
      </w:pPr>
      <m:oMathPara>
        <m:oMath>
          <m:r>
            <w:rPr>
              <w:rFonts w:ascii="Cambria Math" w:eastAsiaTheme="minorHAnsi" w:hAnsi="Cambria Math"/>
              <w:sz w:val="20"/>
              <w:szCs w:val="20"/>
              <w:lang w:eastAsia="en-US"/>
            </w:rPr>
            <m:t>famafrenc</m:t>
          </m:r>
          <m:sSub>
            <m:sSubPr>
              <m:ctrlPr>
                <w:rPr>
                  <w:rFonts w:ascii="Cambria Math" w:eastAsiaTheme="minorHAnsi" w:hAnsi="Cambria Math"/>
                  <w:i/>
                  <w:sz w:val="20"/>
                  <w:szCs w:val="20"/>
                  <w:lang w:eastAsia="en-US"/>
                </w:rPr>
              </m:ctrlPr>
            </m:sSubPr>
            <m:e>
              <m:r>
                <w:rPr>
                  <w:rFonts w:ascii="Cambria Math" w:eastAsiaTheme="minorHAnsi" w:hAnsi="Cambria Math"/>
                  <w:sz w:val="20"/>
                  <w:szCs w:val="20"/>
                  <w:lang w:eastAsia="en-US"/>
                </w:rPr>
                <m:t>h</m:t>
              </m:r>
            </m:e>
            <m:sub>
              <m:r>
                <w:rPr>
                  <w:rFonts w:ascii="Cambria Math" w:eastAsiaTheme="minorHAnsi" w:hAnsi="Cambria Math"/>
                  <w:sz w:val="20"/>
                  <w:szCs w:val="20"/>
                  <w:lang w:eastAsia="en-US"/>
                </w:rPr>
                <m:t>value</m:t>
              </m:r>
            </m:sub>
          </m:sSub>
          <m:r>
            <w:rPr>
              <w:rFonts w:ascii="Cambria Math" w:hAnsi="Cambria Math"/>
              <w:sz w:val="20"/>
              <w:szCs w:val="20"/>
            </w:rPr>
            <m:t>=α+</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wealth</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wealth</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age</m:t>
              </m:r>
            </m:sub>
          </m:sSub>
          <m:d>
            <m:dPr>
              <m:ctrlPr>
                <w:rPr>
                  <w:rFonts w:ascii="Cambria Math" w:hAnsi="Cambria Math"/>
                  <w:i/>
                  <w:sz w:val="20"/>
                  <w:szCs w:val="20"/>
                </w:rPr>
              </m:ctrlPr>
            </m:dPr>
            <m:e>
              <m:r>
                <w:rPr>
                  <w:rFonts w:ascii="Cambria Math" w:hAnsi="Cambria Math"/>
                  <w:sz w:val="20"/>
                  <w:szCs w:val="20"/>
                </w:rPr>
                <m:t>age</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sz w:val="20"/>
                          <w:szCs w:val="20"/>
                        </w:rPr>
                      </m:ctrlPr>
                    </m:dPr>
                    <m:e>
                      <m:r>
                        <m:rPr>
                          <m:sty m:val="p"/>
                        </m:rPr>
                        <w:rPr>
                          <w:rFonts w:ascii="Cambria Math" w:hAnsi="Cambria Math"/>
                          <w:sz w:val="20"/>
                          <w:szCs w:val="20"/>
                        </w:rPr>
                        <m:t>income</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income</m:t>
              </m:r>
            </m:e>
          </m:d>
          <m:r>
            <m:rPr>
              <m:sty m:val="b"/>
            </m:rPr>
            <w:rPr>
              <w:rFonts w:asci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gender</m:t>
              </m:r>
            </m:sub>
          </m:sSub>
          <m:d>
            <m:dPr>
              <m:ctrlPr>
                <w:rPr>
                  <w:rFonts w:ascii="Cambria Math" w:hAnsi="Cambria Math"/>
                  <w:i/>
                  <w:sz w:val="20"/>
                  <w:szCs w:val="20"/>
                </w:rPr>
              </m:ctrlPr>
            </m:dPr>
            <m:e>
              <m:r>
                <w:rPr>
                  <w:rFonts w:ascii="Cambria Math" w:hAnsi="Cambria Math"/>
                  <w:sz w:val="20"/>
                  <w:szCs w:val="20"/>
                </w:rPr>
                <m:t>gender</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education</m:t>
              </m:r>
            </m:sub>
          </m:sSub>
          <m:d>
            <m:dPr>
              <m:ctrlPr>
                <w:rPr>
                  <w:rFonts w:ascii="Cambria Math" w:hAnsi="Cambria Math"/>
                  <w:i/>
                  <w:sz w:val="20"/>
                  <w:szCs w:val="20"/>
                </w:rPr>
              </m:ctrlPr>
            </m:dPr>
            <m:e>
              <m:r>
                <w:rPr>
                  <w:rFonts w:ascii="Cambria Math" w:hAnsi="Cambria Math"/>
                  <w:sz w:val="20"/>
                  <w:szCs w:val="20"/>
                </w:rPr>
                <m:t>education</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accommodation</m:t>
              </m:r>
            </m:sub>
          </m:sSub>
          <m:r>
            <w:rPr>
              <w:rFonts w:ascii="Cambria Math" w:hAnsi="Cambria Math"/>
              <w:sz w:val="20"/>
              <w:szCs w:val="20"/>
            </w:rPr>
            <m:t>accommodation+</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partner</m:t>
              </m:r>
            </m:sub>
          </m:sSub>
          <m:d>
            <m:dPr>
              <m:ctrlPr>
                <w:rPr>
                  <w:rFonts w:ascii="Cambria Math" w:hAnsi="Cambria Math"/>
                  <w:i/>
                  <w:sz w:val="20"/>
                  <w:szCs w:val="20"/>
                </w:rPr>
              </m:ctrlPr>
            </m:dPr>
            <m:e>
              <m:r>
                <w:rPr>
                  <w:rFonts w:ascii="Cambria Math" w:hAnsi="Cambria Math"/>
                  <w:sz w:val="20"/>
                  <w:szCs w:val="20"/>
                </w:rPr>
                <m:t>partner</m:t>
              </m:r>
            </m:e>
          </m:d>
        </m:oMath>
      </m:oMathPara>
    </w:p>
    <w:p w14:paraId="3D1BEBCB" w14:textId="77777777" w:rsidR="005B1A68" w:rsidRPr="00045DB2" w:rsidRDefault="005B1A68" w:rsidP="00CF1860">
      <w:pPr>
        <w:spacing w:line="360" w:lineRule="auto"/>
        <w:rPr>
          <w:b/>
          <w:bCs/>
          <w:i/>
          <w:iCs/>
        </w:rPr>
      </w:pPr>
    </w:p>
    <w:tbl>
      <w:tblPr>
        <w:tblW w:w="9161" w:type="dxa"/>
        <w:tblLook w:val="04A0" w:firstRow="1" w:lastRow="0" w:firstColumn="1" w:lastColumn="0" w:noHBand="0" w:noVBand="1"/>
      </w:tblPr>
      <w:tblGrid>
        <w:gridCol w:w="2469"/>
        <w:gridCol w:w="1673"/>
        <w:gridCol w:w="1673"/>
        <w:gridCol w:w="1673"/>
        <w:gridCol w:w="1673"/>
      </w:tblGrid>
      <w:tr w:rsidR="00F310D6" w:rsidRPr="00F310D6" w14:paraId="44C339A3" w14:textId="77777777" w:rsidTr="000A6E41">
        <w:trPr>
          <w:trHeight w:val="321"/>
        </w:trPr>
        <w:tc>
          <w:tcPr>
            <w:tcW w:w="2469" w:type="dxa"/>
            <w:tcBorders>
              <w:top w:val="double" w:sz="4" w:space="0" w:color="auto"/>
              <w:left w:val="nil"/>
              <w:bottom w:val="double" w:sz="4" w:space="0" w:color="auto"/>
              <w:right w:val="nil"/>
            </w:tcBorders>
            <w:shd w:val="clear" w:color="auto" w:fill="auto"/>
            <w:noWrap/>
            <w:vAlign w:val="bottom"/>
            <w:hideMark/>
          </w:tcPr>
          <w:p w14:paraId="37495D0C" w14:textId="77777777" w:rsidR="00F310D6" w:rsidRPr="00F310D6" w:rsidRDefault="00F310D6" w:rsidP="00F310D6">
            <w:pPr>
              <w:jc w:val="center"/>
              <w:rPr>
                <w:rFonts w:ascii="Calibri" w:hAnsi="Calibri" w:cs="Calibri"/>
                <w:color w:val="000000"/>
                <w:sz w:val="22"/>
                <w:szCs w:val="22"/>
              </w:rPr>
            </w:pPr>
            <w:r w:rsidRPr="00F310D6">
              <w:rPr>
                <w:rFonts w:ascii="Calibri" w:hAnsi="Calibri" w:cs="Calibri"/>
                <w:color w:val="000000"/>
                <w:sz w:val="22"/>
                <w:szCs w:val="22"/>
              </w:rPr>
              <w:t> </w:t>
            </w:r>
          </w:p>
        </w:tc>
        <w:tc>
          <w:tcPr>
            <w:tcW w:w="1673" w:type="dxa"/>
            <w:tcBorders>
              <w:top w:val="double" w:sz="4" w:space="0" w:color="auto"/>
              <w:left w:val="nil"/>
              <w:bottom w:val="double" w:sz="4" w:space="0" w:color="auto"/>
              <w:right w:val="nil"/>
            </w:tcBorders>
            <w:shd w:val="clear" w:color="auto" w:fill="auto"/>
            <w:noWrap/>
            <w:vAlign w:val="bottom"/>
            <w:hideMark/>
          </w:tcPr>
          <w:p w14:paraId="148358B9" w14:textId="77777777" w:rsidR="00F310D6" w:rsidRPr="00F310D6" w:rsidRDefault="00F310D6" w:rsidP="00F310D6">
            <w:pPr>
              <w:jc w:val="center"/>
              <w:rPr>
                <w:i/>
                <w:iCs/>
                <w:color w:val="000000"/>
                <w:sz w:val="22"/>
                <w:szCs w:val="22"/>
              </w:rPr>
            </w:pPr>
            <w:r w:rsidRPr="00F310D6">
              <w:rPr>
                <w:i/>
                <w:iCs/>
                <w:color w:val="000000"/>
                <w:sz w:val="22"/>
                <w:szCs w:val="22"/>
              </w:rPr>
              <w:t>Coefficients</w:t>
            </w:r>
          </w:p>
        </w:tc>
        <w:tc>
          <w:tcPr>
            <w:tcW w:w="1673" w:type="dxa"/>
            <w:tcBorders>
              <w:top w:val="double" w:sz="4" w:space="0" w:color="auto"/>
              <w:left w:val="nil"/>
              <w:bottom w:val="double" w:sz="4" w:space="0" w:color="auto"/>
              <w:right w:val="nil"/>
            </w:tcBorders>
            <w:shd w:val="clear" w:color="auto" w:fill="auto"/>
            <w:noWrap/>
            <w:vAlign w:val="bottom"/>
            <w:hideMark/>
          </w:tcPr>
          <w:p w14:paraId="0DEF7000" w14:textId="77777777" w:rsidR="00F310D6" w:rsidRPr="00F310D6" w:rsidRDefault="00F310D6" w:rsidP="00F310D6">
            <w:pPr>
              <w:jc w:val="center"/>
              <w:rPr>
                <w:i/>
                <w:iCs/>
                <w:color w:val="000000"/>
                <w:sz w:val="22"/>
                <w:szCs w:val="22"/>
              </w:rPr>
            </w:pPr>
            <w:r w:rsidRPr="00F310D6">
              <w:rPr>
                <w:i/>
                <w:iCs/>
                <w:color w:val="000000"/>
                <w:sz w:val="22"/>
                <w:szCs w:val="22"/>
              </w:rPr>
              <w:t>Standard Error</w:t>
            </w:r>
          </w:p>
        </w:tc>
        <w:tc>
          <w:tcPr>
            <w:tcW w:w="1673" w:type="dxa"/>
            <w:tcBorders>
              <w:top w:val="double" w:sz="4" w:space="0" w:color="auto"/>
              <w:left w:val="nil"/>
              <w:bottom w:val="double" w:sz="4" w:space="0" w:color="auto"/>
              <w:right w:val="nil"/>
            </w:tcBorders>
            <w:shd w:val="clear" w:color="auto" w:fill="auto"/>
            <w:noWrap/>
            <w:vAlign w:val="bottom"/>
            <w:hideMark/>
          </w:tcPr>
          <w:p w14:paraId="35A86BB8" w14:textId="77777777" w:rsidR="00F310D6" w:rsidRPr="00F310D6" w:rsidRDefault="00F310D6" w:rsidP="00F310D6">
            <w:pPr>
              <w:jc w:val="center"/>
              <w:rPr>
                <w:i/>
                <w:iCs/>
                <w:color w:val="000000"/>
                <w:sz w:val="22"/>
                <w:szCs w:val="22"/>
              </w:rPr>
            </w:pPr>
            <w:r w:rsidRPr="00F310D6">
              <w:rPr>
                <w:i/>
                <w:iCs/>
                <w:color w:val="000000"/>
                <w:sz w:val="22"/>
                <w:szCs w:val="22"/>
              </w:rPr>
              <w:t>t Stat</w:t>
            </w:r>
          </w:p>
        </w:tc>
        <w:tc>
          <w:tcPr>
            <w:tcW w:w="1673" w:type="dxa"/>
            <w:tcBorders>
              <w:top w:val="double" w:sz="4" w:space="0" w:color="auto"/>
              <w:left w:val="nil"/>
              <w:bottom w:val="double" w:sz="4" w:space="0" w:color="auto"/>
              <w:right w:val="nil"/>
            </w:tcBorders>
            <w:shd w:val="clear" w:color="auto" w:fill="auto"/>
            <w:noWrap/>
            <w:vAlign w:val="bottom"/>
            <w:hideMark/>
          </w:tcPr>
          <w:p w14:paraId="193942C5" w14:textId="77777777" w:rsidR="00F310D6" w:rsidRPr="00F310D6" w:rsidRDefault="00F310D6" w:rsidP="00F310D6">
            <w:pPr>
              <w:jc w:val="center"/>
              <w:rPr>
                <w:i/>
                <w:iCs/>
                <w:color w:val="000000"/>
                <w:sz w:val="22"/>
                <w:szCs w:val="22"/>
              </w:rPr>
            </w:pPr>
            <w:r w:rsidRPr="00F310D6">
              <w:rPr>
                <w:i/>
                <w:iCs/>
                <w:color w:val="000000"/>
                <w:sz w:val="22"/>
                <w:szCs w:val="22"/>
              </w:rPr>
              <w:t>P-value</w:t>
            </w:r>
          </w:p>
        </w:tc>
      </w:tr>
      <w:tr w:rsidR="00F310D6" w:rsidRPr="00F310D6" w14:paraId="143501EA" w14:textId="77777777" w:rsidTr="000A6E41">
        <w:trPr>
          <w:trHeight w:val="321"/>
        </w:trPr>
        <w:tc>
          <w:tcPr>
            <w:tcW w:w="2469" w:type="dxa"/>
            <w:tcBorders>
              <w:top w:val="double" w:sz="4" w:space="0" w:color="auto"/>
              <w:left w:val="nil"/>
              <w:bottom w:val="nil"/>
              <w:right w:val="nil"/>
            </w:tcBorders>
            <w:shd w:val="clear" w:color="auto" w:fill="auto"/>
            <w:noWrap/>
            <w:vAlign w:val="bottom"/>
            <w:hideMark/>
          </w:tcPr>
          <w:p w14:paraId="1086F34A" w14:textId="77777777" w:rsidR="00F310D6" w:rsidRPr="00F310D6" w:rsidRDefault="00F310D6" w:rsidP="00F310D6">
            <w:pPr>
              <w:rPr>
                <w:i/>
                <w:iCs/>
                <w:color w:val="000000"/>
                <w:sz w:val="22"/>
                <w:szCs w:val="22"/>
              </w:rPr>
            </w:pPr>
            <w:r w:rsidRPr="00F310D6">
              <w:rPr>
                <w:i/>
                <w:iCs/>
                <w:color w:val="000000"/>
                <w:sz w:val="22"/>
                <w:szCs w:val="22"/>
              </w:rPr>
              <w:t>Intercept</w:t>
            </w:r>
          </w:p>
        </w:tc>
        <w:tc>
          <w:tcPr>
            <w:tcW w:w="1673" w:type="dxa"/>
            <w:tcBorders>
              <w:top w:val="double" w:sz="4" w:space="0" w:color="auto"/>
              <w:left w:val="nil"/>
              <w:bottom w:val="nil"/>
              <w:right w:val="nil"/>
            </w:tcBorders>
            <w:shd w:val="clear" w:color="auto" w:fill="auto"/>
            <w:noWrap/>
            <w:vAlign w:val="bottom"/>
            <w:hideMark/>
          </w:tcPr>
          <w:p w14:paraId="243025E4" w14:textId="5A141BA5" w:rsidR="00F310D6" w:rsidRPr="0040484C" w:rsidRDefault="00F310D6" w:rsidP="00F310D6">
            <w:pPr>
              <w:jc w:val="right"/>
              <w:rPr>
                <w:color w:val="000000"/>
                <w:sz w:val="22"/>
                <w:szCs w:val="22"/>
                <w:lang w:val="es-ES"/>
              </w:rPr>
            </w:pPr>
            <w:r w:rsidRPr="00F310D6">
              <w:rPr>
                <w:color w:val="000000"/>
                <w:sz w:val="22"/>
                <w:szCs w:val="22"/>
              </w:rPr>
              <w:t>0,30</w:t>
            </w:r>
            <w:r w:rsidR="0040484C">
              <w:rPr>
                <w:color w:val="000000"/>
                <w:sz w:val="22"/>
                <w:szCs w:val="22"/>
                <w:lang w:val="es-ES"/>
              </w:rPr>
              <w:t>6</w:t>
            </w:r>
          </w:p>
        </w:tc>
        <w:tc>
          <w:tcPr>
            <w:tcW w:w="1673" w:type="dxa"/>
            <w:tcBorders>
              <w:top w:val="double" w:sz="4" w:space="0" w:color="auto"/>
              <w:left w:val="nil"/>
              <w:bottom w:val="nil"/>
              <w:right w:val="nil"/>
            </w:tcBorders>
            <w:shd w:val="clear" w:color="auto" w:fill="auto"/>
            <w:noWrap/>
            <w:vAlign w:val="bottom"/>
            <w:hideMark/>
          </w:tcPr>
          <w:p w14:paraId="662A64A8" w14:textId="59961576" w:rsidR="00F310D6" w:rsidRPr="00F310D6" w:rsidRDefault="00F310D6" w:rsidP="00F310D6">
            <w:pPr>
              <w:jc w:val="right"/>
              <w:rPr>
                <w:color w:val="000000"/>
                <w:sz w:val="22"/>
                <w:szCs w:val="22"/>
              </w:rPr>
            </w:pPr>
            <w:r w:rsidRPr="00F310D6">
              <w:rPr>
                <w:color w:val="000000"/>
                <w:sz w:val="22"/>
                <w:szCs w:val="22"/>
              </w:rPr>
              <w:t>0,062</w:t>
            </w:r>
          </w:p>
        </w:tc>
        <w:tc>
          <w:tcPr>
            <w:tcW w:w="1673" w:type="dxa"/>
            <w:tcBorders>
              <w:top w:val="double" w:sz="4" w:space="0" w:color="auto"/>
              <w:left w:val="nil"/>
              <w:bottom w:val="nil"/>
              <w:right w:val="nil"/>
            </w:tcBorders>
            <w:shd w:val="clear" w:color="auto" w:fill="auto"/>
            <w:noWrap/>
            <w:vAlign w:val="bottom"/>
            <w:hideMark/>
          </w:tcPr>
          <w:p w14:paraId="03647027" w14:textId="2D8CB39C" w:rsidR="00F310D6" w:rsidRPr="00F310D6" w:rsidRDefault="00F310D6" w:rsidP="00F310D6">
            <w:pPr>
              <w:jc w:val="right"/>
              <w:rPr>
                <w:color w:val="000000"/>
                <w:sz w:val="22"/>
                <w:szCs w:val="22"/>
              </w:rPr>
            </w:pPr>
            <w:r w:rsidRPr="00F310D6">
              <w:rPr>
                <w:color w:val="000000"/>
                <w:sz w:val="22"/>
                <w:szCs w:val="22"/>
              </w:rPr>
              <w:t>4,913</w:t>
            </w:r>
          </w:p>
        </w:tc>
        <w:tc>
          <w:tcPr>
            <w:tcW w:w="1673" w:type="dxa"/>
            <w:tcBorders>
              <w:top w:val="double" w:sz="4" w:space="0" w:color="auto"/>
              <w:left w:val="nil"/>
              <w:bottom w:val="nil"/>
              <w:right w:val="nil"/>
            </w:tcBorders>
            <w:shd w:val="clear" w:color="auto" w:fill="auto"/>
            <w:noWrap/>
            <w:vAlign w:val="bottom"/>
            <w:hideMark/>
          </w:tcPr>
          <w:p w14:paraId="3F2F49F5" w14:textId="0F525D28" w:rsidR="00F310D6" w:rsidRPr="0040484C" w:rsidRDefault="0040484C" w:rsidP="00F310D6">
            <w:pPr>
              <w:jc w:val="right"/>
              <w:rPr>
                <w:color w:val="000000"/>
                <w:sz w:val="22"/>
                <w:szCs w:val="22"/>
                <w:lang w:val="es-ES"/>
              </w:rPr>
            </w:pPr>
            <w:r>
              <w:rPr>
                <w:color w:val="000000"/>
                <w:sz w:val="22"/>
                <w:szCs w:val="22"/>
                <w:lang w:val="es-ES"/>
              </w:rPr>
              <w:t>0,000</w:t>
            </w:r>
          </w:p>
        </w:tc>
      </w:tr>
      <w:tr w:rsidR="00D00F27" w:rsidRPr="00F310D6" w14:paraId="2A77BAFB" w14:textId="77777777" w:rsidTr="00F310D6">
        <w:trPr>
          <w:trHeight w:val="321"/>
        </w:trPr>
        <w:tc>
          <w:tcPr>
            <w:tcW w:w="2469" w:type="dxa"/>
            <w:tcBorders>
              <w:top w:val="nil"/>
              <w:left w:val="nil"/>
              <w:bottom w:val="nil"/>
              <w:right w:val="nil"/>
            </w:tcBorders>
            <w:shd w:val="clear" w:color="auto" w:fill="auto"/>
            <w:noWrap/>
            <w:vAlign w:val="bottom"/>
          </w:tcPr>
          <w:p w14:paraId="04FF7C4F" w14:textId="7F519B10" w:rsidR="00D00F27" w:rsidRPr="00F310D6" w:rsidRDefault="00D00F27" w:rsidP="00D00F27">
            <w:pPr>
              <w:rPr>
                <w:i/>
                <w:iCs/>
                <w:color w:val="000000"/>
                <w:sz w:val="22"/>
                <w:szCs w:val="22"/>
              </w:rPr>
            </w:pPr>
            <w:r>
              <w:rPr>
                <w:i/>
                <w:iCs/>
                <w:color w:val="000000"/>
                <w:sz w:val="22"/>
                <w:szCs w:val="22"/>
                <w:lang w:val="es-ES"/>
              </w:rPr>
              <w:t>log(</w:t>
            </w:r>
            <w:proofErr w:type="spellStart"/>
            <w:r>
              <w:rPr>
                <w:i/>
                <w:iCs/>
                <w:color w:val="000000"/>
                <w:sz w:val="22"/>
                <w:szCs w:val="22"/>
                <w:lang w:val="es-ES"/>
              </w:rPr>
              <w:t>wealth</w:t>
            </w:r>
            <w:proofErr w:type="spellEnd"/>
            <w:r>
              <w:rPr>
                <w:i/>
                <w:iCs/>
                <w:color w:val="000000"/>
                <w:sz w:val="22"/>
                <w:szCs w:val="22"/>
                <w:lang w:val="es-ES"/>
              </w:rPr>
              <w:t>)</w:t>
            </w:r>
          </w:p>
        </w:tc>
        <w:tc>
          <w:tcPr>
            <w:tcW w:w="1673" w:type="dxa"/>
            <w:tcBorders>
              <w:top w:val="nil"/>
              <w:left w:val="nil"/>
              <w:bottom w:val="nil"/>
              <w:right w:val="nil"/>
            </w:tcBorders>
            <w:shd w:val="clear" w:color="auto" w:fill="auto"/>
            <w:noWrap/>
            <w:vAlign w:val="bottom"/>
          </w:tcPr>
          <w:p w14:paraId="58508EC2" w14:textId="78B6A221" w:rsidR="00D00F27" w:rsidRPr="00F310D6" w:rsidRDefault="00D00F27" w:rsidP="00D00F27">
            <w:pPr>
              <w:jc w:val="right"/>
              <w:rPr>
                <w:color w:val="000000"/>
                <w:sz w:val="22"/>
                <w:szCs w:val="22"/>
              </w:rPr>
            </w:pPr>
            <w:r w:rsidRPr="00F310D6">
              <w:rPr>
                <w:color w:val="000000"/>
                <w:sz w:val="22"/>
                <w:szCs w:val="22"/>
              </w:rPr>
              <w:t>0,015</w:t>
            </w:r>
          </w:p>
        </w:tc>
        <w:tc>
          <w:tcPr>
            <w:tcW w:w="1673" w:type="dxa"/>
            <w:tcBorders>
              <w:top w:val="nil"/>
              <w:left w:val="nil"/>
              <w:bottom w:val="nil"/>
              <w:right w:val="nil"/>
            </w:tcBorders>
            <w:shd w:val="clear" w:color="auto" w:fill="auto"/>
            <w:noWrap/>
            <w:vAlign w:val="bottom"/>
          </w:tcPr>
          <w:p w14:paraId="25817AD3" w14:textId="1176CCCB" w:rsidR="00D00F27" w:rsidRPr="00F310D6" w:rsidRDefault="00D00F27" w:rsidP="00D00F27">
            <w:pPr>
              <w:jc w:val="right"/>
              <w:rPr>
                <w:color w:val="000000"/>
                <w:sz w:val="22"/>
                <w:szCs w:val="22"/>
              </w:rPr>
            </w:pPr>
            <w:r w:rsidRPr="00F310D6">
              <w:rPr>
                <w:color w:val="000000"/>
                <w:sz w:val="22"/>
                <w:szCs w:val="22"/>
              </w:rPr>
              <w:t>0,007</w:t>
            </w:r>
          </w:p>
        </w:tc>
        <w:tc>
          <w:tcPr>
            <w:tcW w:w="1673" w:type="dxa"/>
            <w:tcBorders>
              <w:top w:val="nil"/>
              <w:left w:val="nil"/>
              <w:bottom w:val="nil"/>
              <w:right w:val="nil"/>
            </w:tcBorders>
            <w:shd w:val="clear" w:color="auto" w:fill="auto"/>
            <w:noWrap/>
            <w:vAlign w:val="bottom"/>
          </w:tcPr>
          <w:p w14:paraId="7351BC07" w14:textId="159B4484" w:rsidR="00D00F27" w:rsidRPr="00F310D6" w:rsidRDefault="00D00F27" w:rsidP="00D00F27">
            <w:pPr>
              <w:jc w:val="right"/>
              <w:rPr>
                <w:color w:val="000000"/>
                <w:sz w:val="22"/>
                <w:szCs w:val="22"/>
              </w:rPr>
            </w:pPr>
            <w:r w:rsidRPr="00F310D6">
              <w:rPr>
                <w:color w:val="000000"/>
                <w:sz w:val="22"/>
                <w:szCs w:val="22"/>
              </w:rPr>
              <w:t>1,96</w:t>
            </w:r>
            <w:r>
              <w:rPr>
                <w:color w:val="000000"/>
                <w:sz w:val="22"/>
                <w:szCs w:val="22"/>
                <w:lang w:val="es-ES"/>
              </w:rPr>
              <w:t>5</w:t>
            </w:r>
          </w:p>
        </w:tc>
        <w:tc>
          <w:tcPr>
            <w:tcW w:w="1673" w:type="dxa"/>
            <w:tcBorders>
              <w:top w:val="nil"/>
              <w:left w:val="nil"/>
              <w:bottom w:val="nil"/>
              <w:right w:val="nil"/>
            </w:tcBorders>
            <w:shd w:val="clear" w:color="auto" w:fill="auto"/>
            <w:noWrap/>
            <w:vAlign w:val="bottom"/>
          </w:tcPr>
          <w:p w14:paraId="21A74E68" w14:textId="00A03B59" w:rsidR="00D00F27" w:rsidRPr="00F310D6" w:rsidRDefault="00D00F27" w:rsidP="00D00F27">
            <w:pPr>
              <w:jc w:val="right"/>
              <w:rPr>
                <w:color w:val="000000"/>
                <w:sz w:val="22"/>
                <w:szCs w:val="22"/>
              </w:rPr>
            </w:pPr>
            <w:r w:rsidRPr="00F310D6">
              <w:rPr>
                <w:color w:val="000000"/>
                <w:sz w:val="22"/>
                <w:szCs w:val="22"/>
              </w:rPr>
              <w:t>0,049</w:t>
            </w:r>
          </w:p>
        </w:tc>
      </w:tr>
      <w:tr w:rsidR="00D00F27" w:rsidRPr="00F310D6" w14:paraId="5C6A0141" w14:textId="77777777" w:rsidTr="00F310D6">
        <w:trPr>
          <w:trHeight w:val="321"/>
        </w:trPr>
        <w:tc>
          <w:tcPr>
            <w:tcW w:w="2469" w:type="dxa"/>
            <w:tcBorders>
              <w:top w:val="nil"/>
              <w:left w:val="nil"/>
              <w:bottom w:val="nil"/>
              <w:right w:val="nil"/>
            </w:tcBorders>
            <w:shd w:val="clear" w:color="auto" w:fill="auto"/>
            <w:noWrap/>
            <w:vAlign w:val="bottom"/>
            <w:hideMark/>
          </w:tcPr>
          <w:p w14:paraId="5097338A" w14:textId="77777777" w:rsidR="00D00F27" w:rsidRPr="00F310D6" w:rsidRDefault="00D00F27" w:rsidP="00D00F27">
            <w:pPr>
              <w:rPr>
                <w:i/>
                <w:iCs/>
                <w:color w:val="000000"/>
                <w:sz w:val="22"/>
                <w:szCs w:val="22"/>
              </w:rPr>
            </w:pPr>
            <w:r w:rsidRPr="00F310D6">
              <w:rPr>
                <w:i/>
                <w:iCs/>
                <w:color w:val="000000"/>
                <w:sz w:val="22"/>
                <w:szCs w:val="22"/>
              </w:rPr>
              <w:t>age</w:t>
            </w:r>
          </w:p>
        </w:tc>
        <w:tc>
          <w:tcPr>
            <w:tcW w:w="1673" w:type="dxa"/>
            <w:tcBorders>
              <w:top w:val="nil"/>
              <w:left w:val="nil"/>
              <w:bottom w:val="nil"/>
              <w:right w:val="nil"/>
            </w:tcBorders>
            <w:shd w:val="clear" w:color="auto" w:fill="auto"/>
            <w:noWrap/>
            <w:vAlign w:val="bottom"/>
            <w:hideMark/>
          </w:tcPr>
          <w:p w14:paraId="53A1248D" w14:textId="39CAA8ED" w:rsidR="00D00F27" w:rsidRPr="0040484C" w:rsidRDefault="00D00F27" w:rsidP="00D00F27">
            <w:pPr>
              <w:jc w:val="right"/>
              <w:rPr>
                <w:color w:val="000000"/>
                <w:sz w:val="22"/>
                <w:szCs w:val="22"/>
                <w:lang w:val="es-ES"/>
              </w:rPr>
            </w:pPr>
            <w:r w:rsidRPr="00F310D6">
              <w:rPr>
                <w:color w:val="000000"/>
                <w:sz w:val="22"/>
                <w:szCs w:val="22"/>
              </w:rPr>
              <w:t>0,00</w:t>
            </w:r>
            <w:r>
              <w:rPr>
                <w:color w:val="000000"/>
                <w:sz w:val="22"/>
                <w:szCs w:val="22"/>
                <w:lang w:val="es-ES"/>
              </w:rPr>
              <w:t>1</w:t>
            </w:r>
          </w:p>
        </w:tc>
        <w:tc>
          <w:tcPr>
            <w:tcW w:w="1673" w:type="dxa"/>
            <w:tcBorders>
              <w:top w:val="nil"/>
              <w:left w:val="nil"/>
              <w:bottom w:val="nil"/>
              <w:right w:val="nil"/>
            </w:tcBorders>
            <w:shd w:val="clear" w:color="auto" w:fill="auto"/>
            <w:noWrap/>
            <w:vAlign w:val="bottom"/>
            <w:hideMark/>
          </w:tcPr>
          <w:p w14:paraId="680412E2" w14:textId="71F81D0A" w:rsidR="00D00F27" w:rsidRPr="0040484C" w:rsidRDefault="00D00F27" w:rsidP="00D00F27">
            <w:pPr>
              <w:jc w:val="right"/>
              <w:rPr>
                <w:color w:val="000000"/>
                <w:sz w:val="22"/>
                <w:szCs w:val="22"/>
                <w:lang w:val="es-ES"/>
              </w:rPr>
            </w:pPr>
            <w:r w:rsidRPr="00F310D6">
              <w:rPr>
                <w:color w:val="000000"/>
                <w:sz w:val="22"/>
                <w:szCs w:val="22"/>
              </w:rPr>
              <w:t>0,00</w:t>
            </w:r>
            <w:r>
              <w:rPr>
                <w:color w:val="000000"/>
                <w:sz w:val="22"/>
                <w:szCs w:val="22"/>
                <w:lang w:val="es-ES"/>
              </w:rPr>
              <w:t>1</w:t>
            </w:r>
          </w:p>
        </w:tc>
        <w:tc>
          <w:tcPr>
            <w:tcW w:w="1673" w:type="dxa"/>
            <w:tcBorders>
              <w:top w:val="nil"/>
              <w:left w:val="nil"/>
              <w:bottom w:val="nil"/>
              <w:right w:val="nil"/>
            </w:tcBorders>
            <w:shd w:val="clear" w:color="auto" w:fill="auto"/>
            <w:noWrap/>
            <w:vAlign w:val="bottom"/>
            <w:hideMark/>
          </w:tcPr>
          <w:p w14:paraId="7F5543E3" w14:textId="71C56050" w:rsidR="00D00F27" w:rsidRPr="00F310D6" w:rsidRDefault="00D00F27" w:rsidP="00D00F27">
            <w:pPr>
              <w:jc w:val="right"/>
              <w:rPr>
                <w:color w:val="000000"/>
                <w:sz w:val="22"/>
                <w:szCs w:val="22"/>
              </w:rPr>
            </w:pPr>
            <w:r w:rsidRPr="00F310D6">
              <w:rPr>
                <w:color w:val="000000"/>
                <w:sz w:val="22"/>
                <w:szCs w:val="22"/>
              </w:rPr>
              <w:t>0,381</w:t>
            </w:r>
          </w:p>
        </w:tc>
        <w:tc>
          <w:tcPr>
            <w:tcW w:w="1673" w:type="dxa"/>
            <w:tcBorders>
              <w:top w:val="nil"/>
              <w:left w:val="nil"/>
              <w:bottom w:val="nil"/>
              <w:right w:val="nil"/>
            </w:tcBorders>
            <w:shd w:val="clear" w:color="auto" w:fill="auto"/>
            <w:noWrap/>
            <w:vAlign w:val="bottom"/>
            <w:hideMark/>
          </w:tcPr>
          <w:p w14:paraId="051A48DD" w14:textId="4E75CE4A" w:rsidR="00D00F27" w:rsidRPr="00F310D6" w:rsidRDefault="00D00F27" w:rsidP="00D00F27">
            <w:pPr>
              <w:jc w:val="right"/>
              <w:rPr>
                <w:color w:val="000000"/>
                <w:sz w:val="22"/>
                <w:szCs w:val="22"/>
              </w:rPr>
            </w:pPr>
            <w:r w:rsidRPr="00F310D6">
              <w:rPr>
                <w:color w:val="000000"/>
                <w:sz w:val="22"/>
                <w:szCs w:val="22"/>
              </w:rPr>
              <w:t>0,703</w:t>
            </w:r>
          </w:p>
        </w:tc>
      </w:tr>
      <w:tr w:rsidR="00D00F27" w:rsidRPr="00F310D6" w14:paraId="008326F8" w14:textId="77777777" w:rsidTr="00F310D6">
        <w:trPr>
          <w:trHeight w:val="321"/>
        </w:trPr>
        <w:tc>
          <w:tcPr>
            <w:tcW w:w="2469" w:type="dxa"/>
            <w:tcBorders>
              <w:top w:val="nil"/>
              <w:left w:val="nil"/>
              <w:bottom w:val="nil"/>
              <w:right w:val="nil"/>
            </w:tcBorders>
            <w:shd w:val="clear" w:color="auto" w:fill="auto"/>
            <w:noWrap/>
            <w:vAlign w:val="bottom"/>
            <w:hideMark/>
          </w:tcPr>
          <w:p w14:paraId="115463B7" w14:textId="2F0B0BA3" w:rsidR="00D00F27" w:rsidRPr="00F310D6" w:rsidRDefault="00D00F27" w:rsidP="00D00F27">
            <w:pPr>
              <w:rPr>
                <w:i/>
                <w:iCs/>
                <w:color w:val="000000"/>
                <w:sz w:val="22"/>
                <w:szCs w:val="22"/>
                <w:lang w:val="es-ES"/>
              </w:rPr>
            </w:pPr>
            <w:r>
              <w:rPr>
                <w:i/>
                <w:iCs/>
                <w:color w:val="000000"/>
                <w:sz w:val="22"/>
                <w:szCs w:val="22"/>
                <w:lang w:val="es-ES"/>
              </w:rPr>
              <w:t>log(</w:t>
            </w:r>
            <w:proofErr w:type="spellStart"/>
            <w:r>
              <w:rPr>
                <w:i/>
                <w:iCs/>
                <w:color w:val="000000"/>
                <w:sz w:val="22"/>
                <w:szCs w:val="22"/>
                <w:lang w:val="es-ES"/>
              </w:rPr>
              <w:t>income</w:t>
            </w:r>
            <w:proofErr w:type="spellEnd"/>
            <w:r>
              <w:rPr>
                <w:i/>
                <w:iCs/>
                <w:color w:val="000000"/>
                <w:sz w:val="22"/>
                <w:szCs w:val="22"/>
                <w:lang w:val="es-ES"/>
              </w:rPr>
              <w:t>)</w:t>
            </w:r>
          </w:p>
        </w:tc>
        <w:tc>
          <w:tcPr>
            <w:tcW w:w="1673" w:type="dxa"/>
            <w:tcBorders>
              <w:top w:val="nil"/>
              <w:left w:val="nil"/>
              <w:bottom w:val="nil"/>
              <w:right w:val="nil"/>
            </w:tcBorders>
            <w:shd w:val="clear" w:color="auto" w:fill="auto"/>
            <w:noWrap/>
            <w:vAlign w:val="bottom"/>
            <w:hideMark/>
          </w:tcPr>
          <w:p w14:paraId="6D8223D7" w14:textId="4C969D81" w:rsidR="00D00F27" w:rsidRPr="0040484C" w:rsidRDefault="00D00F27" w:rsidP="00D00F27">
            <w:pPr>
              <w:jc w:val="right"/>
              <w:rPr>
                <w:color w:val="000000"/>
                <w:sz w:val="22"/>
                <w:szCs w:val="22"/>
                <w:lang w:val="es-ES"/>
              </w:rPr>
            </w:pPr>
            <w:r w:rsidRPr="00F310D6">
              <w:rPr>
                <w:color w:val="000000"/>
                <w:sz w:val="22"/>
                <w:szCs w:val="22"/>
              </w:rPr>
              <w:t>0,00</w:t>
            </w:r>
            <w:r>
              <w:rPr>
                <w:color w:val="000000"/>
                <w:sz w:val="22"/>
                <w:szCs w:val="22"/>
                <w:lang w:val="es-ES"/>
              </w:rPr>
              <w:t>2</w:t>
            </w:r>
          </w:p>
        </w:tc>
        <w:tc>
          <w:tcPr>
            <w:tcW w:w="1673" w:type="dxa"/>
            <w:tcBorders>
              <w:top w:val="nil"/>
              <w:left w:val="nil"/>
              <w:bottom w:val="nil"/>
              <w:right w:val="nil"/>
            </w:tcBorders>
            <w:shd w:val="clear" w:color="auto" w:fill="auto"/>
            <w:noWrap/>
            <w:vAlign w:val="bottom"/>
            <w:hideMark/>
          </w:tcPr>
          <w:p w14:paraId="34A5F06F" w14:textId="0D2C98E3" w:rsidR="00D00F27" w:rsidRPr="00F310D6" w:rsidRDefault="00D00F27" w:rsidP="00D00F27">
            <w:pPr>
              <w:jc w:val="right"/>
              <w:rPr>
                <w:color w:val="000000"/>
                <w:sz w:val="22"/>
                <w:szCs w:val="22"/>
              </w:rPr>
            </w:pPr>
            <w:r w:rsidRPr="00F310D6">
              <w:rPr>
                <w:color w:val="000000"/>
                <w:sz w:val="22"/>
                <w:szCs w:val="22"/>
              </w:rPr>
              <w:t>0,007</w:t>
            </w:r>
          </w:p>
        </w:tc>
        <w:tc>
          <w:tcPr>
            <w:tcW w:w="1673" w:type="dxa"/>
            <w:tcBorders>
              <w:top w:val="nil"/>
              <w:left w:val="nil"/>
              <w:bottom w:val="nil"/>
              <w:right w:val="nil"/>
            </w:tcBorders>
            <w:shd w:val="clear" w:color="auto" w:fill="auto"/>
            <w:noWrap/>
            <w:vAlign w:val="bottom"/>
            <w:hideMark/>
          </w:tcPr>
          <w:p w14:paraId="5D059994" w14:textId="0946ACC1" w:rsidR="00D00F27" w:rsidRPr="0040484C" w:rsidRDefault="00D00F27" w:rsidP="00D00F27">
            <w:pPr>
              <w:jc w:val="right"/>
              <w:rPr>
                <w:color w:val="000000"/>
                <w:sz w:val="22"/>
                <w:szCs w:val="22"/>
                <w:lang w:val="es-ES"/>
              </w:rPr>
            </w:pPr>
            <w:r w:rsidRPr="00F310D6">
              <w:rPr>
                <w:color w:val="000000"/>
                <w:sz w:val="22"/>
                <w:szCs w:val="22"/>
              </w:rPr>
              <w:t>0,2</w:t>
            </w:r>
            <w:r>
              <w:rPr>
                <w:color w:val="000000"/>
                <w:sz w:val="22"/>
                <w:szCs w:val="22"/>
                <w:lang w:val="es-ES"/>
              </w:rPr>
              <w:t>40</w:t>
            </w:r>
          </w:p>
        </w:tc>
        <w:tc>
          <w:tcPr>
            <w:tcW w:w="1673" w:type="dxa"/>
            <w:tcBorders>
              <w:top w:val="nil"/>
              <w:left w:val="nil"/>
              <w:bottom w:val="nil"/>
              <w:right w:val="nil"/>
            </w:tcBorders>
            <w:shd w:val="clear" w:color="auto" w:fill="auto"/>
            <w:noWrap/>
            <w:vAlign w:val="bottom"/>
            <w:hideMark/>
          </w:tcPr>
          <w:p w14:paraId="3AE1B901" w14:textId="3065315A" w:rsidR="00D00F27" w:rsidRPr="00F310D6" w:rsidRDefault="00D00F27" w:rsidP="00D00F27">
            <w:pPr>
              <w:jc w:val="right"/>
              <w:rPr>
                <w:color w:val="000000"/>
                <w:sz w:val="22"/>
                <w:szCs w:val="22"/>
              </w:rPr>
            </w:pPr>
            <w:r w:rsidRPr="00F310D6">
              <w:rPr>
                <w:color w:val="000000"/>
                <w:sz w:val="22"/>
                <w:szCs w:val="22"/>
              </w:rPr>
              <w:t>0,810</w:t>
            </w:r>
          </w:p>
        </w:tc>
      </w:tr>
      <w:tr w:rsidR="00D00F27" w:rsidRPr="00F310D6" w14:paraId="755D35E3" w14:textId="77777777" w:rsidTr="00F310D6">
        <w:trPr>
          <w:trHeight w:val="321"/>
        </w:trPr>
        <w:tc>
          <w:tcPr>
            <w:tcW w:w="2469" w:type="dxa"/>
            <w:tcBorders>
              <w:top w:val="nil"/>
              <w:left w:val="nil"/>
              <w:bottom w:val="nil"/>
              <w:right w:val="nil"/>
            </w:tcBorders>
            <w:shd w:val="clear" w:color="auto" w:fill="auto"/>
            <w:noWrap/>
            <w:vAlign w:val="bottom"/>
            <w:hideMark/>
          </w:tcPr>
          <w:p w14:paraId="427AB622" w14:textId="589ED88B" w:rsidR="00D00F27" w:rsidRPr="00F310D6" w:rsidRDefault="00D00F27" w:rsidP="00D00F27">
            <w:pPr>
              <w:rPr>
                <w:i/>
                <w:iCs/>
                <w:color w:val="000000"/>
                <w:sz w:val="22"/>
                <w:szCs w:val="22"/>
                <w:lang w:val="es-ES"/>
              </w:rPr>
            </w:pPr>
            <w:proofErr w:type="spellStart"/>
            <w:r>
              <w:rPr>
                <w:i/>
                <w:iCs/>
                <w:color w:val="000000"/>
                <w:sz w:val="22"/>
                <w:szCs w:val="22"/>
                <w:lang w:val="es-ES"/>
              </w:rPr>
              <w:t>gender</w:t>
            </w:r>
            <w:proofErr w:type="spellEnd"/>
          </w:p>
        </w:tc>
        <w:tc>
          <w:tcPr>
            <w:tcW w:w="1673" w:type="dxa"/>
            <w:tcBorders>
              <w:top w:val="nil"/>
              <w:left w:val="nil"/>
              <w:bottom w:val="nil"/>
              <w:right w:val="nil"/>
            </w:tcBorders>
            <w:shd w:val="clear" w:color="auto" w:fill="auto"/>
            <w:noWrap/>
            <w:vAlign w:val="bottom"/>
            <w:hideMark/>
          </w:tcPr>
          <w:p w14:paraId="78AA1F79" w14:textId="51736B30" w:rsidR="00D00F27" w:rsidRPr="00F310D6" w:rsidRDefault="00D00F27" w:rsidP="00D00F27">
            <w:pPr>
              <w:jc w:val="right"/>
              <w:rPr>
                <w:color w:val="000000"/>
                <w:sz w:val="22"/>
                <w:szCs w:val="22"/>
              </w:rPr>
            </w:pPr>
            <w:r w:rsidRPr="00F310D6">
              <w:rPr>
                <w:color w:val="000000"/>
                <w:sz w:val="22"/>
                <w:szCs w:val="22"/>
              </w:rPr>
              <w:t>-0,081</w:t>
            </w:r>
          </w:p>
        </w:tc>
        <w:tc>
          <w:tcPr>
            <w:tcW w:w="1673" w:type="dxa"/>
            <w:tcBorders>
              <w:top w:val="nil"/>
              <w:left w:val="nil"/>
              <w:bottom w:val="nil"/>
              <w:right w:val="nil"/>
            </w:tcBorders>
            <w:shd w:val="clear" w:color="auto" w:fill="auto"/>
            <w:noWrap/>
            <w:vAlign w:val="bottom"/>
            <w:hideMark/>
          </w:tcPr>
          <w:p w14:paraId="31866A8E" w14:textId="47A0918C" w:rsidR="00D00F27" w:rsidRPr="00F310D6" w:rsidRDefault="00D00F27" w:rsidP="00D00F27">
            <w:pPr>
              <w:jc w:val="right"/>
              <w:rPr>
                <w:color w:val="000000"/>
                <w:sz w:val="22"/>
                <w:szCs w:val="22"/>
              </w:rPr>
            </w:pPr>
            <w:r w:rsidRPr="00F310D6">
              <w:rPr>
                <w:color w:val="000000"/>
                <w:sz w:val="22"/>
                <w:szCs w:val="22"/>
              </w:rPr>
              <w:t>0,028</w:t>
            </w:r>
          </w:p>
        </w:tc>
        <w:tc>
          <w:tcPr>
            <w:tcW w:w="1673" w:type="dxa"/>
            <w:tcBorders>
              <w:top w:val="nil"/>
              <w:left w:val="nil"/>
              <w:bottom w:val="nil"/>
              <w:right w:val="nil"/>
            </w:tcBorders>
            <w:shd w:val="clear" w:color="auto" w:fill="auto"/>
            <w:noWrap/>
            <w:vAlign w:val="bottom"/>
            <w:hideMark/>
          </w:tcPr>
          <w:p w14:paraId="0CB29E55" w14:textId="10DA626D" w:rsidR="00D00F27" w:rsidRPr="00F310D6" w:rsidRDefault="00D00F27" w:rsidP="00D00F27">
            <w:pPr>
              <w:jc w:val="right"/>
              <w:rPr>
                <w:color w:val="000000"/>
                <w:sz w:val="22"/>
                <w:szCs w:val="22"/>
              </w:rPr>
            </w:pPr>
            <w:r w:rsidRPr="00F310D6">
              <w:rPr>
                <w:color w:val="000000"/>
                <w:sz w:val="22"/>
                <w:szCs w:val="22"/>
              </w:rPr>
              <w:t>-2,856</w:t>
            </w:r>
          </w:p>
        </w:tc>
        <w:tc>
          <w:tcPr>
            <w:tcW w:w="1673" w:type="dxa"/>
            <w:tcBorders>
              <w:top w:val="nil"/>
              <w:left w:val="nil"/>
              <w:bottom w:val="nil"/>
              <w:right w:val="nil"/>
            </w:tcBorders>
            <w:shd w:val="clear" w:color="auto" w:fill="auto"/>
            <w:noWrap/>
            <w:vAlign w:val="bottom"/>
            <w:hideMark/>
          </w:tcPr>
          <w:p w14:paraId="3B70E710" w14:textId="5FB71B8A" w:rsidR="00D00F27" w:rsidRPr="00F310D6" w:rsidRDefault="00D00F27" w:rsidP="00D00F27">
            <w:pPr>
              <w:jc w:val="right"/>
              <w:rPr>
                <w:color w:val="000000"/>
                <w:sz w:val="22"/>
                <w:szCs w:val="22"/>
              </w:rPr>
            </w:pPr>
            <w:r w:rsidRPr="00F310D6">
              <w:rPr>
                <w:color w:val="000000"/>
                <w:sz w:val="22"/>
                <w:szCs w:val="22"/>
              </w:rPr>
              <w:t>0,004</w:t>
            </w:r>
          </w:p>
        </w:tc>
      </w:tr>
      <w:tr w:rsidR="00D00F27" w:rsidRPr="00F310D6" w14:paraId="0C0C4D82" w14:textId="77777777" w:rsidTr="00F310D6">
        <w:trPr>
          <w:trHeight w:val="321"/>
        </w:trPr>
        <w:tc>
          <w:tcPr>
            <w:tcW w:w="2469" w:type="dxa"/>
            <w:tcBorders>
              <w:top w:val="nil"/>
              <w:left w:val="nil"/>
              <w:bottom w:val="nil"/>
              <w:right w:val="nil"/>
            </w:tcBorders>
            <w:shd w:val="clear" w:color="auto" w:fill="auto"/>
            <w:noWrap/>
            <w:vAlign w:val="bottom"/>
            <w:hideMark/>
          </w:tcPr>
          <w:p w14:paraId="13E946F2" w14:textId="4C5AF611" w:rsidR="00D00F27" w:rsidRPr="00F310D6" w:rsidRDefault="00D00F27" w:rsidP="00D00F27">
            <w:pPr>
              <w:rPr>
                <w:i/>
                <w:iCs/>
                <w:color w:val="000000"/>
                <w:sz w:val="22"/>
                <w:szCs w:val="22"/>
                <w:lang w:val="es-ES"/>
              </w:rPr>
            </w:pPr>
            <w:proofErr w:type="spellStart"/>
            <w:r>
              <w:rPr>
                <w:i/>
                <w:iCs/>
                <w:color w:val="000000"/>
                <w:sz w:val="22"/>
                <w:szCs w:val="22"/>
                <w:lang w:val="es-ES"/>
              </w:rPr>
              <w:t>education</w:t>
            </w:r>
            <w:proofErr w:type="spellEnd"/>
          </w:p>
        </w:tc>
        <w:tc>
          <w:tcPr>
            <w:tcW w:w="1673" w:type="dxa"/>
            <w:tcBorders>
              <w:top w:val="nil"/>
              <w:left w:val="nil"/>
              <w:bottom w:val="nil"/>
              <w:right w:val="nil"/>
            </w:tcBorders>
            <w:shd w:val="clear" w:color="auto" w:fill="auto"/>
            <w:noWrap/>
            <w:vAlign w:val="bottom"/>
            <w:hideMark/>
          </w:tcPr>
          <w:p w14:paraId="77536097" w14:textId="585AE233" w:rsidR="00D00F27" w:rsidRPr="00F310D6" w:rsidRDefault="00D00F27" w:rsidP="00D00F27">
            <w:pPr>
              <w:jc w:val="right"/>
              <w:rPr>
                <w:color w:val="000000"/>
                <w:sz w:val="22"/>
                <w:szCs w:val="22"/>
              </w:rPr>
            </w:pPr>
            <w:r w:rsidRPr="00F310D6">
              <w:rPr>
                <w:color w:val="000000"/>
                <w:sz w:val="22"/>
                <w:szCs w:val="22"/>
              </w:rPr>
              <w:t>0,069</w:t>
            </w:r>
          </w:p>
        </w:tc>
        <w:tc>
          <w:tcPr>
            <w:tcW w:w="1673" w:type="dxa"/>
            <w:tcBorders>
              <w:top w:val="nil"/>
              <w:left w:val="nil"/>
              <w:bottom w:val="nil"/>
              <w:right w:val="nil"/>
            </w:tcBorders>
            <w:shd w:val="clear" w:color="auto" w:fill="auto"/>
            <w:noWrap/>
            <w:vAlign w:val="bottom"/>
            <w:hideMark/>
          </w:tcPr>
          <w:p w14:paraId="54AD8747" w14:textId="69B3163F" w:rsidR="00D00F27" w:rsidRPr="00F310D6" w:rsidRDefault="00D00F27" w:rsidP="00D00F27">
            <w:pPr>
              <w:jc w:val="right"/>
              <w:rPr>
                <w:color w:val="000000"/>
                <w:sz w:val="22"/>
                <w:szCs w:val="22"/>
              </w:rPr>
            </w:pPr>
            <w:r w:rsidRPr="00F310D6">
              <w:rPr>
                <w:color w:val="000000"/>
                <w:sz w:val="22"/>
                <w:szCs w:val="22"/>
              </w:rPr>
              <w:t>0,024</w:t>
            </w:r>
          </w:p>
        </w:tc>
        <w:tc>
          <w:tcPr>
            <w:tcW w:w="1673" w:type="dxa"/>
            <w:tcBorders>
              <w:top w:val="nil"/>
              <w:left w:val="nil"/>
              <w:bottom w:val="nil"/>
              <w:right w:val="nil"/>
            </w:tcBorders>
            <w:shd w:val="clear" w:color="auto" w:fill="auto"/>
            <w:noWrap/>
            <w:vAlign w:val="bottom"/>
            <w:hideMark/>
          </w:tcPr>
          <w:p w14:paraId="202B838A" w14:textId="34EF228D" w:rsidR="00D00F27" w:rsidRPr="0040484C" w:rsidRDefault="00D00F27" w:rsidP="00D00F27">
            <w:pPr>
              <w:jc w:val="right"/>
              <w:rPr>
                <w:color w:val="000000"/>
                <w:sz w:val="22"/>
                <w:szCs w:val="22"/>
                <w:lang w:val="es-ES"/>
              </w:rPr>
            </w:pPr>
            <w:r w:rsidRPr="00F310D6">
              <w:rPr>
                <w:color w:val="000000"/>
                <w:sz w:val="22"/>
                <w:szCs w:val="22"/>
              </w:rPr>
              <w:t>2,8</w:t>
            </w:r>
            <w:r>
              <w:rPr>
                <w:color w:val="000000"/>
                <w:sz w:val="22"/>
                <w:szCs w:val="22"/>
                <w:lang w:val="es-ES"/>
              </w:rPr>
              <w:t>30</w:t>
            </w:r>
          </w:p>
        </w:tc>
        <w:tc>
          <w:tcPr>
            <w:tcW w:w="1673" w:type="dxa"/>
            <w:tcBorders>
              <w:top w:val="nil"/>
              <w:left w:val="nil"/>
              <w:bottom w:val="nil"/>
              <w:right w:val="nil"/>
            </w:tcBorders>
            <w:shd w:val="clear" w:color="auto" w:fill="auto"/>
            <w:noWrap/>
            <w:vAlign w:val="bottom"/>
            <w:hideMark/>
          </w:tcPr>
          <w:p w14:paraId="40620951" w14:textId="5AF4FF9E" w:rsidR="00D00F27" w:rsidRPr="0040484C" w:rsidRDefault="00D00F27" w:rsidP="00D00F27">
            <w:pPr>
              <w:jc w:val="right"/>
              <w:rPr>
                <w:color w:val="000000"/>
                <w:sz w:val="22"/>
                <w:szCs w:val="22"/>
                <w:lang w:val="es-ES"/>
              </w:rPr>
            </w:pPr>
            <w:r w:rsidRPr="00F310D6">
              <w:rPr>
                <w:color w:val="000000"/>
                <w:sz w:val="22"/>
                <w:szCs w:val="22"/>
              </w:rPr>
              <w:t>0,00</w:t>
            </w:r>
            <w:r>
              <w:rPr>
                <w:color w:val="000000"/>
                <w:sz w:val="22"/>
                <w:szCs w:val="22"/>
                <w:lang w:val="es-ES"/>
              </w:rPr>
              <w:t>5</w:t>
            </w:r>
          </w:p>
        </w:tc>
      </w:tr>
      <w:tr w:rsidR="00D00F27" w:rsidRPr="00F310D6" w14:paraId="0A59580F" w14:textId="77777777" w:rsidTr="00F310D6">
        <w:trPr>
          <w:trHeight w:val="321"/>
        </w:trPr>
        <w:tc>
          <w:tcPr>
            <w:tcW w:w="2469" w:type="dxa"/>
            <w:tcBorders>
              <w:top w:val="nil"/>
              <w:left w:val="nil"/>
              <w:bottom w:val="nil"/>
              <w:right w:val="nil"/>
            </w:tcBorders>
            <w:shd w:val="clear" w:color="auto" w:fill="auto"/>
            <w:noWrap/>
            <w:vAlign w:val="bottom"/>
            <w:hideMark/>
          </w:tcPr>
          <w:p w14:paraId="4F0628FA" w14:textId="7DCB2AA9" w:rsidR="00D00F27" w:rsidRPr="00F310D6" w:rsidRDefault="00D00F27" w:rsidP="00D00F27">
            <w:pPr>
              <w:rPr>
                <w:i/>
                <w:iCs/>
                <w:color w:val="000000"/>
                <w:sz w:val="22"/>
                <w:szCs w:val="22"/>
                <w:lang w:val="es-ES"/>
              </w:rPr>
            </w:pPr>
            <w:r w:rsidRPr="00E27CEE">
              <w:rPr>
                <w:i/>
                <w:iCs/>
                <w:color w:val="000000"/>
                <w:sz w:val="22"/>
                <w:szCs w:val="22"/>
              </w:rPr>
              <w:t>ac</w:t>
            </w:r>
            <w:r>
              <w:rPr>
                <w:i/>
                <w:iCs/>
                <w:color w:val="000000"/>
                <w:sz w:val="22"/>
                <w:szCs w:val="22"/>
              </w:rPr>
              <w:t>c</w:t>
            </w:r>
            <w:r w:rsidRPr="00E27CEE">
              <w:rPr>
                <w:i/>
                <w:iCs/>
                <w:color w:val="000000"/>
                <w:sz w:val="22"/>
                <w:szCs w:val="22"/>
              </w:rPr>
              <w:t>ommodation</w:t>
            </w:r>
          </w:p>
        </w:tc>
        <w:tc>
          <w:tcPr>
            <w:tcW w:w="1673" w:type="dxa"/>
            <w:tcBorders>
              <w:top w:val="nil"/>
              <w:left w:val="nil"/>
              <w:bottom w:val="nil"/>
              <w:right w:val="nil"/>
            </w:tcBorders>
            <w:shd w:val="clear" w:color="auto" w:fill="auto"/>
            <w:noWrap/>
            <w:vAlign w:val="bottom"/>
            <w:hideMark/>
          </w:tcPr>
          <w:p w14:paraId="3A5ED3DD" w14:textId="7D5338BA" w:rsidR="00D00F27" w:rsidRPr="00F310D6" w:rsidRDefault="00D00F27" w:rsidP="00D00F27">
            <w:pPr>
              <w:jc w:val="right"/>
              <w:rPr>
                <w:color w:val="000000"/>
                <w:sz w:val="22"/>
                <w:szCs w:val="22"/>
              </w:rPr>
            </w:pPr>
            <w:r w:rsidRPr="00F310D6">
              <w:rPr>
                <w:color w:val="000000"/>
                <w:sz w:val="22"/>
                <w:szCs w:val="22"/>
              </w:rPr>
              <w:t>-0,055</w:t>
            </w:r>
          </w:p>
        </w:tc>
        <w:tc>
          <w:tcPr>
            <w:tcW w:w="1673" w:type="dxa"/>
            <w:tcBorders>
              <w:top w:val="nil"/>
              <w:left w:val="nil"/>
              <w:bottom w:val="nil"/>
              <w:right w:val="nil"/>
            </w:tcBorders>
            <w:shd w:val="clear" w:color="auto" w:fill="auto"/>
            <w:noWrap/>
            <w:vAlign w:val="bottom"/>
            <w:hideMark/>
          </w:tcPr>
          <w:p w14:paraId="62F2A557" w14:textId="613ECB8F" w:rsidR="00D00F27" w:rsidRPr="00F310D6" w:rsidRDefault="00D00F27" w:rsidP="00D00F27">
            <w:pPr>
              <w:jc w:val="right"/>
              <w:rPr>
                <w:color w:val="000000"/>
                <w:sz w:val="22"/>
                <w:szCs w:val="22"/>
              </w:rPr>
            </w:pPr>
            <w:r w:rsidRPr="00F310D6">
              <w:rPr>
                <w:color w:val="000000"/>
                <w:sz w:val="22"/>
                <w:szCs w:val="22"/>
              </w:rPr>
              <w:t>0,033</w:t>
            </w:r>
          </w:p>
        </w:tc>
        <w:tc>
          <w:tcPr>
            <w:tcW w:w="1673" w:type="dxa"/>
            <w:tcBorders>
              <w:top w:val="nil"/>
              <w:left w:val="nil"/>
              <w:bottom w:val="nil"/>
              <w:right w:val="nil"/>
            </w:tcBorders>
            <w:shd w:val="clear" w:color="auto" w:fill="auto"/>
            <w:noWrap/>
            <w:vAlign w:val="bottom"/>
            <w:hideMark/>
          </w:tcPr>
          <w:p w14:paraId="11BDF591" w14:textId="4E041287" w:rsidR="00D00F27" w:rsidRPr="00F310D6" w:rsidRDefault="00D00F27" w:rsidP="00D00F27">
            <w:pPr>
              <w:jc w:val="right"/>
              <w:rPr>
                <w:color w:val="000000"/>
                <w:sz w:val="22"/>
                <w:szCs w:val="22"/>
              </w:rPr>
            </w:pPr>
            <w:r w:rsidRPr="00F310D6">
              <w:rPr>
                <w:color w:val="000000"/>
                <w:sz w:val="22"/>
                <w:szCs w:val="22"/>
              </w:rPr>
              <w:t>-1,624</w:t>
            </w:r>
          </w:p>
        </w:tc>
        <w:tc>
          <w:tcPr>
            <w:tcW w:w="1673" w:type="dxa"/>
            <w:tcBorders>
              <w:top w:val="nil"/>
              <w:left w:val="nil"/>
              <w:bottom w:val="nil"/>
              <w:right w:val="nil"/>
            </w:tcBorders>
            <w:shd w:val="clear" w:color="auto" w:fill="auto"/>
            <w:noWrap/>
            <w:vAlign w:val="bottom"/>
            <w:hideMark/>
          </w:tcPr>
          <w:p w14:paraId="3F8271ED" w14:textId="5F9CA343" w:rsidR="00D00F27" w:rsidRPr="00F310D6" w:rsidRDefault="00D00F27" w:rsidP="00D00F27">
            <w:pPr>
              <w:jc w:val="right"/>
              <w:rPr>
                <w:color w:val="000000"/>
                <w:sz w:val="22"/>
                <w:szCs w:val="22"/>
              </w:rPr>
            </w:pPr>
            <w:r w:rsidRPr="00F310D6">
              <w:rPr>
                <w:color w:val="000000"/>
                <w:sz w:val="22"/>
                <w:szCs w:val="22"/>
              </w:rPr>
              <w:t>0,104</w:t>
            </w:r>
          </w:p>
        </w:tc>
      </w:tr>
      <w:tr w:rsidR="00D00F27" w:rsidRPr="00F310D6" w14:paraId="7BB452C2" w14:textId="77777777" w:rsidTr="000A6E41">
        <w:trPr>
          <w:trHeight w:val="342"/>
        </w:trPr>
        <w:tc>
          <w:tcPr>
            <w:tcW w:w="2469" w:type="dxa"/>
            <w:tcBorders>
              <w:top w:val="nil"/>
              <w:left w:val="nil"/>
              <w:bottom w:val="double" w:sz="4" w:space="0" w:color="auto"/>
              <w:right w:val="nil"/>
            </w:tcBorders>
            <w:shd w:val="clear" w:color="auto" w:fill="auto"/>
            <w:noWrap/>
            <w:vAlign w:val="bottom"/>
            <w:hideMark/>
          </w:tcPr>
          <w:p w14:paraId="2093EB74" w14:textId="32398CEB" w:rsidR="00D00F27" w:rsidRPr="00F310D6" w:rsidRDefault="00D00F27" w:rsidP="00D00F27">
            <w:pPr>
              <w:rPr>
                <w:i/>
                <w:iCs/>
                <w:color w:val="000000"/>
                <w:sz w:val="22"/>
                <w:szCs w:val="22"/>
                <w:lang w:val="es-ES"/>
              </w:rPr>
            </w:pPr>
            <w:proofErr w:type="spellStart"/>
            <w:r>
              <w:rPr>
                <w:i/>
                <w:iCs/>
                <w:color w:val="000000"/>
                <w:sz w:val="22"/>
                <w:szCs w:val="22"/>
                <w:lang w:val="es-ES"/>
              </w:rPr>
              <w:t>partner</w:t>
            </w:r>
            <w:proofErr w:type="spellEnd"/>
          </w:p>
        </w:tc>
        <w:tc>
          <w:tcPr>
            <w:tcW w:w="1673" w:type="dxa"/>
            <w:tcBorders>
              <w:top w:val="nil"/>
              <w:left w:val="nil"/>
              <w:bottom w:val="double" w:sz="4" w:space="0" w:color="auto"/>
              <w:right w:val="nil"/>
            </w:tcBorders>
            <w:shd w:val="clear" w:color="auto" w:fill="auto"/>
            <w:noWrap/>
            <w:vAlign w:val="bottom"/>
            <w:hideMark/>
          </w:tcPr>
          <w:p w14:paraId="65BC76DD" w14:textId="38AF4110" w:rsidR="00D00F27" w:rsidRPr="00F310D6" w:rsidRDefault="00D00F27" w:rsidP="00D00F27">
            <w:pPr>
              <w:jc w:val="right"/>
              <w:rPr>
                <w:color w:val="000000"/>
                <w:sz w:val="22"/>
                <w:szCs w:val="22"/>
              </w:rPr>
            </w:pPr>
            <w:r w:rsidRPr="00F310D6">
              <w:rPr>
                <w:color w:val="000000"/>
                <w:sz w:val="22"/>
                <w:szCs w:val="22"/>
              </w:rPr>
              <w:t>0,003</w:t>
            </w:r>
          </w:p>
        </w:tc>
        <w:tc>
          <w:tcPr>
            <w:tcW w:w="1673" w:type="dxa"/>
            <w:tcBorders>
              <w:top w:val="nil"/>
              <w:left w:val="nil"/>
              <w:bottom w:val="double" w:sz="4" w:space="0" w:color="auto"/>
              <w:right w:val="nil"/>
            </w:tcBorders>
            <w:shd w:val="clear" w:color="auto" w:fill="auto"/>
            <w:noWrap/>
            <w:vAlign w:val="bottom"/>
            <w:hideMark/>
          </w:tcPr>
          <w:p w14:paraId="0A28DF32" w14:textId="157D4084" w:rsidR="00D00F27" w:rsidRPr="00F310D6" w:rsidRDefault="00D00F27" w:rsidP="00D00F27">
            <w:pPr>
              <w:jc w:val="right"/>
              <w:rPr>
                <w:color w:val="000000"/>
                <w:sz w:val="22"/>
                <w:szCs w:val="22"/>
              </w:rPr>
            </w:pPr>
            <w:r w:rsidRPr="00F310D6">
              <w:rPr>
                <w:color w:val="000000"/>
                <w:sz w:val="22"/>
                <w:szCs w:val="22"/>
              </w:rPr>
              <w:t>0,025</w:t>
            </w:r>
          </w:p>
        </w:tc>
        <w:tc>
          <w:tcPr>
            <w:tcW w:w="1673" w:type="dxa"/>
            <w:tcBorders>
              <w:top w:val="nil"/>
              <w:left w:val="nil"/>
              <w:bottom w:val="double" w:sz="4" w:space="0" w:color="auto"/>
              <w:right w:val="nil"/>
            </w:tcBorders>
            <w:shd w:val="clear" w:color="auto" w:fill="auto"/>
            <w:noWrap/>
            <w:vAlign w:val="bottom"/>
            <w:hideMark/>
          </w:tcPr>
          <w:p w14:paraId="5D072BA6" w14:textId="12537A3B" w:rsidR="00D00F27" w:rsidRPr="0040484C" w:rsidRDefault="00D00F27" w:rsidP="00D00F27">
            <w:pPr>
              <w:jc w:val="right"/>
              <w:rPr>
                <w:color w:val="000000"/>
                <w:sz w:val="22"/>
                <w:szCs w:val="22"/>
                <w:lang w:val="es-ES"/>
              </w:rPr>
            </w:pPr>
            <w:r w:rsidRPr="00F310D6">
              <w:rPr>
                <w:color w:val="000000"/>
                <w:sz w:val="22"/>
                <w:szCs w:val="22"/>
              </w:rPr>
              <w:t>0,13</w:t>
            </w:r>
            <w:r>
              <w:rPr>
                <w:color w:val="000000"/>
                <w:sz w:val="22"/>
                <w:szCs w:val="22"/>
                <w:lang w:val="es-ES"/>
              </w:rPr>
              <w:t>3</w:t>
            </w:r>
          </w:p>
        </w:tc>
        <w:tc>
          <w:tcPr>
            <w:tcW w:w="1673" w:type="dxa"/>
            <w:tcBorders>
              <w:top w:val="nil"/>
              <w:left w:val="nil"/>
              <w:bottom w:val="double" w:sz="4" w:space="0" w:color="auto"/>
              <w:right w:val="nil"/>
            </w:tcBorders>
            <w:shd w:val="clear" w:color="auto" w:fill="auto"/>
            <w:noWrap/>
            <w:vAlign w:val="bottom"/>
            <w:hideMark/>
          </w:tcPr>
          <w:p w14:paraId="772258C4" w14:textId="6B4129E0" w:rsidR="00D00F27" w:rsidRPr="00F310D6" w:rsidRDefault="00D00F27" w:rsidP="00D00F27">
            <w:pPr>
              <w:jc w:val="right"/>
              <w:rPr>
                <w:color w:val="000000"/>
                <w:sz w:val="22"/>
                <w:szCs w:val="22"/>
              </w:rPr>
            </w:pPr>
            <w:r w:rsidRPr="00F310D6">
              <w:rPr>
                <w:color w:val="000000"/>
                <w:sz w:val="22"/>
                <w:szCs w:val="22"/>
              </w:rPr>
              <w:t>0,894</w:t>
            </w:r>
          </w:p>
        </w:tc>
      </w:tr>
    </w:tbl>
    <w:p w14:paraId="69B16797" w14:textId="33461DBD" w:rsidR="00045DB2" w:rsidRPr="00267ADE" w:rsidRDefault="00267ADE" w:rsidP="00CF1860">
      <w:pPr>
        <w:spacing w:line="360" w:lineRule="auto"/>
        <w:rPr>
          <w:i/>
          <w:iCs/>
        </w:rPr>
      </w:pPr>
      <w:r>
        <w:rPr>
          <w:i/>
          <w:iCs/>
        </w:rPr>
        <w:t xml:space="preserve">N = </w:t>
      </w:r>
      <w:r w:rsidRPr="00267ADE">
        <w:t>1963</w:t>
      </w:r>
      <w:r>
        <w:rPr>
          <w:i/>
          <w:iCs/>
        </w:rPr>
        <w:tab/>
        <w:t>R</w:t>
      </w:r>
      <w:r>
        <w:rPr>
          <w:i/>
          <w:iCs/>
          <w:vertAlign w:val="superscript"/>
        </w:rPr>
        <w:t>2</w:t>
      </w:r>
      <w:r>
        <w:rPr>
          <w:i/>
          <w:iCs/>
        </w:rPr>
        <w:t xml:space="preserve">= </w:t>
      </w:r>
      <w:r w:rsidRPr="00887BAA">
        <w:t>0.011</w:t>
      </w:r>
      <w:r>
        <w:rPr>
          <w:i/>
          <w:iCs/>
        </w:rPr>
        <w:tab/>
        <w:t>Multiple R</w:t>
      </w:r>
      <w:r>
        <w:rPr>
          <w:i/>
          <w:iCs/>
          <w:vertAlign w:val="superscript"/>
        </w:rPr>
        <w:t>2</w:t>
      </w:r>
      <w:r>
        <w:rPr>
          <w:i/>
          <w:iCs/>
        </w:rPr>
        <w:t>=</w:t>
      </w:r>
      <w:r w:rsidR="00887BAA">
        <w:rPr>
          <w:i/>
          <w:iCs/>
        </w:rPr>
        <w:t xml:space="preserve"> </w:t>
      </w:r>
      <w:r w:rsidRPr="00887BAA">
        <w:t>0.105</w:t>
      </w:r>
    </w:p>
    <w:p w14:paraId="0AA981C3" w14:textId="51620A1D" w:rsidR="00045DB2" w:rsidRDefault="00045DB2" w:rsidP="00CF1860">
      <w:pPr>
        <w:spacing w:line="360" w:lineRule="auto"/>
        <w:rPr>
          <w:b/>
          <w:bCs/>
        </w:rPr>
      </w:pPr>
    </w:p>
    <w:p w14:paraId="392AEB3A" w14:textId="72402A17" w:rsidR="003028B8" w:rsidRPr="003028B8" w:rsidRDefault="003028B8" w:rsidP="00CF1860">
      <w:pPr>
        <w:spacing w:line="360" w:lineRule="auto"/>
      </w:pPr>
      <w:r>
        <w:t>In this case</w:t>
      </w:r>
      <w:r w:rsidR="005F0DA9">
        <w:t xml:space="preserve">, </w:t>
      </w:r>
      <w:r>
        <w:t xml:space="preserve">3 variables can be considered significant, these being: </w:t>
      </w:r>
      <w:r>
        <w:rPr>
          <w:i/>
          <w:iCs/>
        </w:rPr>
        <w:t>log(</w:t>
      </w:r>
      <w:r w:rsidR="00E148D4">
        <w:rPr>
          <w:i/>
          <w:iCs/>
        </w:rPr>
        <w:t>wealth</w:t>
      </w:r>
      <w:r>
        <w:rPr>
          <w:i/>
          <w:iCs/>
        </w:rPr>
        <w:t>)</w:t>
      </w:r>
      <w:r>
        <w:t xml:space="preserve">, </w:t>
      </w:r>
      <w:r>
        <w:rPr>
          <w:i/>
          <w:iCs/>
        </w:rPr>
        <w:t>g</w:t>
      </w:r>
      <w:r w:rsidR="009C793F">
        <w:rPr>
          <w:i/>
          <w:iCs/>
        </w:rPr>
        <w:t>ender</w:t>
      </w:r>
      <w:r>
        <w:t>,</w:t>
      </w:r>
      <w:r>
        <w:rPr>
          <w:i/>
          <w:iCs/>
        </w:rPr>
        <w:t xml:space="preserve"> </w:t>
      </w:r>
      <w:r>
        <w:t xml:space="preserve">and </w:t>
      </w:r>
      <w:r w:rsidR="009C793F">
        <w:rPr>
          <w:i/>
          <w:iCs/>
        </w:rPr>
        <w:t>education</w:t>
      </w:r>
      <w:r>
        <w:rPr>
          <w:i/>
          <w:iCs/>
        </w:rPr>
        <w:t xml:space="preserve">. </w:t>
      </w:r>
      <w:r>
        <w:t xml:space="preserve">Under an alpha of 0.05, it is correct to say that </w:t>
      </w:r>
      <w:r w:rsidR="004A7B72">
        <w:t xml:space="preserve">the </w:t>
      </w:r>
      <w:r w:rsidR="00F100AA">
        <w:t>larger</w:t>
      </w:r>
      <w:r w:rsidR="004A7B72">
        <w:t xml:space="preserve"> the </w:t>
      </w:r>
      <w:r w:rsidR="00E148D4">
        <w:t>wealthier a</w:t>
      </w:r>
      <w:r w:rsidR="004A7B72">
        <w:t xml:space="preserve"> respondent, the more</w:t>
      </w:r>
      <w:r w:rsidR="00E148D4">
        <w:t xml:space="preserve"> its portfolio is tilted towards value stocks. </w:t>
      </w:r>
      <w:r w:rsidR="004A7B72">
        <w:t xml:space="preserve">Moreover, </w:t>
      </w:r>
      <w:r w:rsidR="00F100AA">
        <w:t>wo</w:t>
      </w:r>
      <w:r w:rsidR="004A7B72">
        <w:t>men are significantly more likely to invest in growth stocks than men. Lastly, those who have completed university education are more inclined to follow the same path of investing in the long leg of the value factor.</w:t>
      </w:r>
      <w:r w:rsidR="002A5040">
        <w:t xml:space="preserve"> </w:t>
      </w:r>
    </w:p>
    <w:p w14:paraId="4D3FC3F8" w14:textId="224DE6D9" w:rsidR="00045DB2" w:rsidRDefault="00045DB2" w:rsidP="00CF1860">
      <w:pPr>
        <w:spacing w:line="360" w:lineRule="auto"/>
        <w:rPr>
          <w:b/>
          <w:bCs/>
        </w:rPr>
      </w:pPr>
    </w:p>
    <w:p w14:paraId="5E294079" w14:textId="5FBCB994" w:rsidR="00E04E46" w:rsidRDefault="00E04E46" w:rsidP="00CF1860">
      <w:pPr>
        <w:spacing w:line="360" w:lineRule="auto"/>
        <w:rPr>
          <w:b/>
          <w:bCs/>
        </w:rPr>
      </w:pPr>
    </w:p>
    <w:p w14:paraId="662856AD" w14:textId="5565CE66" w:rsidR="009A76DF" w:rsidRDefault="009A76DF" w:rsidP="00CF1860">
      <w:pPr>
        <w:spacing w:line="360" w:lineRule="auto"/>
        <w:rPr>
          <w:b/>
          <w:bCs/>
        </w:rPr>
      </w:pPr>
    </w:p>
    <w:p w14:paraId="08200A83" w14:textId="38DCB3FC" w:rsidR="00045DB2" w:rsidRPr="000F702A" w:rsidRDefault="000A6E41" w:rsidP="000F702A">
      <w:pPr>
        <w:pStyle w:val="Heading2"/>
        <w:rPr>
          <w:rFonts w:ascii="Times New Roman" w:hAnsi="Times New Roman" w:cs="Times New Roman"/>
          <w:b/>
          <w:bCs/>
          <w:color w:val="000000" w:themeColor="text1"/>
          <w:sz w:val="24"/>
          <w:szCs w:val="24"/>
        </w:rPr>
      </w:pPr>
      <w:bookmarkStart w:id="28" w:name="_Toc102301212"/>
      <w:bookmarkStart w:id="29" w:name="_Toc103963055"/>
      <w:r w:rsidRPr="000F702A">
        <w:rPr>
          <w:rFonts w:ascii="Times New Roman" w:hAnsi="Times New Roman" w:cs="Times New Roman"/>
          <w:b/>
          <w:bCs/>
          <w:color w:val="000000" w:themeColor="text1"/>
          <w:sz w:val="24"/>
          <w:szCs w:val="24"/>
        </w:rPr>
        <w:lastRenderedPageBreak/>
        <w:t>4</w:t>
      </w:r>
      <w:r w:rsidR="00045DB2" w:rsidRPr="000F702A">
        <w:rPr>
          <w:rFonts w:ascii="Times New Roman" w:hAnsi="Times New Roman" w:cs="Times New Roman"/>
          <w:b/>
          <w:bCs/>
          <w:color w:val="000000" w:themeColor="text1"/>
          <w:sz w:val="24"/>
          <w:szCs w:val="24"/>
        </w:rPr>
        <w:t>.3 RMW Factor</w:t>
      </w:r>
      <w:bookmarkEnd w:id="28"/>
      <w:bookmarkEnd w:id="29"/>
    </w:p>
    <w:p w14:paraId="44D663AD" w14:textId="537588DB" w:rsidR="00045DB2" w:rsidRDefault="00045DB2" w:rsidP="00CF1860">
      <w:pPr>
        <w:spacing w:line="360" w:lineRule="auto"/>
        <w:rPr>
          <w:b/>
          <w:bCs/>
        </w:rPr>
      </w:pPr>
    </w:p>
    <w:p w14:paraId="7C0368D8" w14:textId="1082B28A" w:rsidR="00267ADE" w:rsidRDefault="00095664" w:rsidP="00095664">
      <w:pPr>
        <w:spacing w:line="360" w:lineRule="auto"/>
        <w:ind w:firstLine="720"/>
      </w:pPr>
      <w:r>
        <w:t xml:space="preserve">This factor, is one of the newly added to the 2015 </w:t>
      </w:r>
      <w:proofErr w:type="spellStart"/>
      <w:r>
        <w:t>Fama</w:t>
      </w:r>
      <w:proofErr w:type="spellEnd"/>
      <w:r>
        <w:t xml:space="preserve">-French model. It </w:t>
      </w:r>
      <w:r w:rsidR="00552E90">
        <w:t>subtracts</w:t>
      </w:r>
      <w:r>
        <w:t xml:space="preserve"> a portfolio with unprofitable firms to one made out of profitable firms</w:t>
      </w:r>
      <w:r w:rsidR="00E04E46">
        <w:t xml:space="preserve">. Looking at the regression results below, it will be possible for the reader to discern which variables might </w:t>
      </w:r>
      <w:r w:rsidR="002A5040">
        <w:t xml:space="preserve">are associated with </w:t>
      </w:r>
      <w:r w:rsidR="00E04E46">
        <w:t>the investor’s decision to buy profitable firms’ stocks</w:t>
      </w:r>
      <w:r>
        <w:t>, and therefore, situate them in the long leg</w:t>
      </w:r>
      <w:r w:rsidR="00E04E46">
        <w:t>.</w:t>
      </w:r>
    </w:p>
    <w:p w14:paraId="5F6E660A" w14:textId="77777777" w:rsidR="00095664" w:rsidRPr="0012720E" w:rsidRDefault="00095664" w:rsidP="00095664">
      <w:pPr>
        <w:spacing w:line="360" w:lineRule="auto"/>
        <w:ind w:firstLine="720"/>
      </w:pPr>
    </w:p>
    <w:p w14:paraId="29DA3116" w14:textId="51812BCD" w:rsidR="00267ADE" w:rsidRDefault="00267ADE" w:rsidP="00267ADE">
      <w:pPr>
        <w:spacing w:line="360" w:lineRule="auto"/>
        <w:rPr>
          <w:b/>
          <w:bCs/>
          <w:i/>
          <w:iCs/>
        </w:rPr>
      </w:pPr>
      <w:r>
        <w:rPr>
          <w:b/>
          <w:bCs/>
          <w:i/>
          <w:iCs/>
        </w:rPr>
        <w:t>Regression Output</w:t>
      </w:r>
    </w:p>
    <w:p w14:paraId="637A4A7C" w14:textId="65887047" w:rsidR="005B1A68" w:rsidRDefault="005B1A68" w:rsidP="00267ADE">
      <w:pPr>
        <w:spacing w:line="360" w:lineRule="auto"/>
        <w:rPr>
          <w:b/>
          <w:bCs/>
          <w:i/>
          <w:iCs/>
        </w:rPr>
      </w:pPr>
    </w:p>
    <w:p w14:paraId="3E484FF3" w14:textId="0EE2FE5F" w:rsidR="005B1A68" w:rsidRDefault="005B1A68" w:rsidP="00267ADE">
      <w:pPr>
        <w:spacing w:line="360" w:lineRule="auto"/>
        <w:rPr>
          <w:b/>
          <w:bCs/>
          <w:i/>
          <w:iCs/>
        </w:rPr>
      </w:pPr>
      <m:oMathPara>
        <m:oMath>
          <m:r>
            <w:rPr>
              <w:rFonts w:ascii="Cambria Math" w:eastAsiaTheme="minorHAnsi" w:hAnsi="Cambria Math"/>
              <w:sz w:val="20"/>
              <w:szCs w:val="20"/>
              <w:lang w:eastAsia="en-US"/>
            </w:rPr>
            <m:t>famafrenc</m:t>
          </m:r>
          <m:sSub>
            <m:sSubPr>
              <m:ctrlPr>
                <w:rPr>
                  <w:rFonts w:ascii="Cambria Math" w:eastAsiaTheme="minorHAnsi" w:hAnsi="Cambria Math"/>
                  <w:i/>
                  <w:sz w:val="20"/>
                  <w:szCs w:val="20"/>
                  <w:lang w:eastAsia="en-US"/>
                </w:rPr>
              </m:ctrlPr>
            </m:sSubPr>
            <m:e>
              <m:r>
                <w:rPr>
                  <w:rFonts w:ascii="Cambria Math" w:eastAsiaTheme="minorHAnsi" w:hAnsi="Cambria Math"/>
                  <w:sz w:val="20"/>
                  <w:szCs w:val="20"/>
                  <w:lang w:eastAsia="en-US"/>
                </w:rPr>
                <m:t>h</m:t>
              </m:r>
            </m:e>
            <m:sub>
              <m:r>
                <w:rPr>
                  <w:rFonts w:ascii="Cambria Math" w:eastAsiaTheme="minorHAnsi" w:hAnsi="Cambria Math"/>
                  <w:sz w:val="20"/>
                  <w:szCs w:val="20"/>
                  <w:lang w:eastAsia="en-US"/>
                </w:rPr>
                <m:t>profitability</m:t>
              </m:r>
            </m:sub>
          </m:sSub>
          <m:r>
            <w:rPr>
              <w:rFonts w:ascii="Cambria Math" w:hAnsi="Cambria Math"/>
              <w:sz w:val="20"/>
              <w:szCs w:val="20"/>
            </w:rPr>
            <m:t>=α+</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wealth</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wealth</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age</m:t>
              </m:r>
            </m:sub>
          </m:sSub>
          <m:d>
            <m:dPr>
              <m:ctrlPr>
                <w:rPr>
                  <w:rFonts w:ascii="Cambria Math" w:hAnsi="Cambria Math"/>
                  <w:i/>
                  <w:sz w:val="20"/>
                  <w:szCs w:val="20"/>
                </w:rPr>
              </m:ctrlPr>
            </m:dPr>
            <m:e>
              <m:r>
                <w:rPr>
                  <w:rFonts w:ascii="Cambria Math" w:hAnsi="Cambria Math"/>
                  <w:sz w:val="20"/>
                  <w:szCs w:val="20"/>
                </w:rPr>
                <m:t>age</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sz w:val="20"/>
                          <w:szCs w:val="20"/>
                        </w:rPr>
                      </m:ctrlPr>
                    </m:dPr>
                    <m:e>
                      <m:r>
                        <m:rPr>
                          <m:sty m:val="p"/>
                        </m:rPr>
                        <w:rPr>
                          <w:rFonts w:ascii="Cambria Math" w:hAnsi="Cambria Math"/>
                          <w:sz w:val="20"/>
                          <w:szCs w:val="20"/>
                        </w:rPr>
                        <m:t>income</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income</m:t>
              </m:r>
            </m:e>
          </m:d>
          <m:r>
            <m:rPr>
              <m:sty m:val="b"/>
            </m:rPr>
            <w:rPr>
              <w:rFonts w:asci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gender</m:t>
              </m:r>
            </m:sub>
          </m:sSub>
          <m:d>
            <m:dPr>
              <m:ctrlPr>
                <w:rPr>
                  <w:rFonts w:ascii="Cambria Math" w:hAnsi="Cambria Math"/>
                  <w:i/>
                  <w:sz w:val="20"/>
                  <w:szCs w:val="20"/>
                </w:rPr>
              </m:ctrlPr>
            </m:dPr>
            <m:e>
              <m:r>
                <w:rPr>
                  <w:rFonts w:ascii="Cambria Math" w:hAnsi="Cambria Math"/>
                  <w:sz w:val="20"/>
                  <w:szCs w:val="20"/>
                </w:rPr>
                <m:t>gender</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education</m:t>
              </m:r>
            </m:sub>
          </m:sSub>
          <m:d>
            <m:dPr>
              <m:ctrlPr>
                <w:rPr>
                  <w:rFonts w:ascii="Cambria Math" w:hAnsi="Cambria Math"/>
                  <w:i/>
                  <w:sz w:val="20"/>
                  <w:szCs w:val="20"/>
                </w:rPr>
              </m:ctrlPr>
            </m:dPr>
            <m:e>
              <m:r>
                <w:rPr>
                  <w:rFonts w:ascii="Cambria Math" w:hAnsi="Cambria Math"/>
                  <w:sz w:val="20"/>
                  <w:szCs w:val="20"/>
                </w:rPr>
                <m:t>education</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accommodation</m:t>
              </m:r>
            </m:sub>
          </m:sSub>
          <m:r>
            <w:rPr>
              <w:rFonts w:ascii="Cambria Math" w:hAnsi="Cambria Math"/>
              <w:sz w:val="20"/>
              <w:szCs w:val="20"/>
            </w:rPr>
            <m:t>accommodation+</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partner</m:t>
              </m:r>
            </m:sub>
          </m:sSub>
          <m:d>
            <m:dPr>
              <m:ctrlPr>
                <w:rPr>
                  <w:rFonts w:ascii="Cambria Math" w:hAnsi="Cambria Math"/>
                  <w:i/>
                  <w:sz w:val="20"/>
                  <w:szCs w:val="20"/>
                </w:rPr>
              </m:ctrlPr>
            </m:dPr>
            <m:e>
              <m:r>
                <w:rPr>
                  <w:rFonts w:ascii="Cambria Math" w:hAnsi="Cambria Math"/>
                  <w:sz w:val="20"/>
                  <w:szCs w:val="20"/>
                </w:rPr>
                <m:t>partner</m:t>
              </m:r>
            </m:e>
          </m:d>
        </m:oMath>
      </m:oMathPara>
    </w:p>
    <w:tbl>
      <w:tblPr>
        <w:tblW w:w="9337" w:type="dxa"/>
        <w:tblLook w:val="04A0" w:firstRow="1" w:lastRow="0" w:firstColumn="1" w:lastColumn="0" w:noHBand="0" w:noVBand="1"/>
      </w:tblPr>
      <w:tblGrid>
        <w:gridCol w:w="2517"/>
        <w:gridCol w:w="1705"/>
        <w:gridCol w:w="1705"/>
        <w:gridCol w:w="1705"/>
        <w:gridCol w:w="1705"/>
      </w:tblGrid>
      <w:tr w:rsidR="00552E90" w:rsidRPr="00552E90" w14:paraId="30FD2BC1" w14:textId="77777777" w:rsidTr="000A6E41">
        <w:trPr>
          <w:trHeight w:val="312"/>
        </w:trPr>
        <w:tc>
          <w:tcPr>
            <w:tcW w:w="2517" w:type="dxa"/>
            <w:tcBorders>
              <w:top w:val="double" w:sz="4" w:space="0" w:color="auto"/>
              <w:left w:val="nil"/>
              <w:bottom w:val="double" w:sz="4" w:space="0" w:color="auto"/>
              <w:right w:val="nil"/>
            </w:tcBorders>
            <w:shd w:val="clear" w:color="auto" w:fill="auto"/>
            <w:noWrap/>
            <w:vAlign w:val="bottom"/>
            <w:hideMark/>
          </w:tcPr>
          <w:p w14:paraId="50AD635C" w14:textId="77777777" w:rsidR="00552E90" w:rsidRPr="00552E90" w:rsidRDefault="00552E90" w:rsidP="00552E90">
            <w:pPr>
              <w:jc w:val="center"/>
              <w:rPr>
                <w:color w:val="000000"/>
                <w:sz w:val="22"/>
                <w:szCs w:val="22"/>
              </w:rPr>
            </w:pPr>
            <w:r w:rsidRPr="00552E90">
              <w:rPr>
                <w:color w:val="000000"/>
                <w:sz w:val="22"/>
                <w:szCs w:val="22"/>
              </w:rPr>
              <w:t> </w:t>
            </w:r>
          </w:p>
        </w:tc>
        <w:tc>
          <w:tcPr>
            <w:tcW w:w="1705" w:type="dxa"/>
            <w:tcBorders>
              <w:top w:val="double" w:sz="4" w:space="0" w:color="auto"/>
              <w:left w:val="nil"/>
              <w:bottom w:val="double" w:sz="4" w:space="0" w:color="auto"/>
              <w:right w:val="nil"/>
            </w:tcBorders>
            <w:shd w:val="clear" w:color="auto" w:fill="auto"/>
            <w:noWrap/>
            <w:vAlign w:val="bottom"/>
            <w:hideMark/>
          </w:tcPr>
          <w:p w14:paraId="26C98EF3" w14:textId="77777777" w:rsidR="00552E90" w:rsidRPr="00552E90" w:rsidRDefault="00552E90" w:rsidP="00552E90">
            <w:pPr>
              <w:jc w:val="center"/>
              <w:rPr>
                <w:i/>
                <w:iCs/>
                <w:color w:val="000000"/>
                <w:sz w:val="22"/>
                <w:szCs w:val="22"/>
              </w:rPr>
            </w:pPr>
            <w:r w:rsidRPr="00552E90">
              <w:rPr>
                <w:i/>
                <w:iCs/>
                <w:color w:val="000000"/>
                <w:sz w:val="22"/>
                <w:szCs w:val="22"/>
              </w:rPr>
              <w:t>Coefficients</w:t>
            </w:r>
          </w:p>
        </w:tc>
        <w:tc>
          <w:tcPr>
            <w:tcW w:w="1705" w:type="dxa"/>
            <w:tcBorders>
              <w:top w:val="double" w:sz="4" w:space="0" w:color="auto"/>
              <w:left w:val="nil"/>
              <w:bottom w:val="double" w:sz="4" w:space="0" w:color="auto"/>
              <w:right w:val="nil"/>
            </w:tcBorders>
            <w:shd w:val="clear" w:color="auto" w:fill="auto"/>
            <w:noWrap/>
            <w:vAlign w:val="bottom"/>
            <w:hideMark/>
          </w:tcPr>
          <w:p w14:paraId="1D7DC18B" w14:textId="77777777" w:rsidR="00552E90" w:rsidRPr="00552E90" w:rsidRDefault="00552E90" w:rsidP="00552E90">
            <w:pPr>
              <w:jc w:val="center"/>
              <w:rPr>
                <w:i/>
                <w:iCs/>
                <w:color w:val="000000"/>
                <w:sz w:val="22"/>
                <w:szCs w:val="22"/>
              </w:rPr>
            </w:pPr>
            <w:r w:rsidRPr="00552E90">
              <w:rPr>
                <w:i/>
                <w:iCs/>
                <w:color w:val="000000"/>
                <w:sz w:val="22"/>
                <w:szCs w:val="22"/>
              </w:rPr>
              <w:t>Standard Error</w:t>
            </w:r>
          </w:p>
        </w:tc>
        <w:tc>
          <w:tcPr>
            <w:tcW w:w="1705" w:type="dxa"/>
            <w:tcBorders>
              <w:top w:val="double" w:sz="4" w:space="0" w:color="auto"/>
              <w:left w:val="nil"/>
              <w:bottom w:val="double" w:sz="4" w:space="0" w:color="auto"/>
              <w:right w:val="nil"/>
            </w:tcBorders>
            <w:shd w:val="clear" w:color="auto" w:fill="auto"/>
            <w:noWrap/>
            <w:vAlign w:val="bottom"/>
            <w:hideMark/>
          </w:tcPr>
          <w:p w14:paraId="7C76ACFC" w14:textId="77777777" w:rsidR="00552E90" w:rsidRPr="00552E90" w:rsidRDefault="00552E90" w:rsidP="00552E90">
            <w:pPr>
              <w:jc w:val="center"/>
              <w:rPr>
                <w:i/>
                <w:iCs/>
                <w:color w:val="000000"/>
                <w:sz w:val="22"/>
                <w:szCs w:val="22"/>
              </w:rPr>
            </w:pPr>
            <w:r w:rsidRPr="00552E90">
              <w:rPr>
                <w:i/>
                <w:iCs/>
                <w:color w:val="000000"/>
                <w:sz w:val="22"/>
                <w:szCs w:val="22"/>
              </w:rPr>
              <w:t>t Stat</w:t>
            </w:r>
          </w:p>
        </w:tc>
        <w:tc>
          <w:tcPr>
            <w:tcW w:w="1705" w:type="dxa"/>
            <w:tcBorders>
              <w:top w:val="double" w:sz="4" w:space="0" w:color="auto"/>
              <w:left w:val="nil"/>
              <w:bottom w:val="double" w:sz="4" w:space="0" w:color="auto"/>
              <w:right w:val="nil"/>
            </w:tcBorders>
            <w:shd w:val="clear" w:color="auto" w:fill="auto"/>
            <w:noWrap/>
            <w:vAlign w:val="bottom"/>
            <w:hideMark/>
          </w:tcPr>
          <w:p w14:paraId="6FD7484A" w14:textId="77777777" w:rsidR="00552E90" w:rsidRPr="00552E90" w:rsidRDefault="00552E90" w:rsidP="00552E90">
            <w:pPr>
              <w:jc w:val="center"/>
              <w:rPr>
                <w:i/>
                <w:iCs/>
                <w:color w:val="000000"/>
                <w:sz w:val="22"/>
                <w:szCs w:val="22"/>
              </w:rPr>
            </w:pPr>
            <w:r w:rsidRPr="00552E90">
              <w:rPr>
                <w:i/>
                <w:iCs/>
                <w:color w:val="000000"/>
                <w:sz w:val="22"/>
                <w:szCs w:val="22"/>
              </w:rPr>
              <w:t>P-value</w:t>
            </w:r>
          </w:p>
        </w:tc>
      </w:tr>
      <w:tr w:rsidR="00552E90" w:rsidRPr="00552E90" w14:paraId="43BAAC73" w14:textId="77777777" w:rsidTr="000A6E41">
        <w:trPr>
          <w:trHeight w:val="312"/>
        </w:trPr>
        <w:tc>
          <w:tcPr>
            <w:tcW w:w="2517" w:type="dxa"/>
            <w:tcBorders>
              <w:top w:val="double" w:sz="4" w:space="0" w:color="auto"/>
              <w:left w:val="nil"/>
              <w:bottom w:val="nil"/>
              <w:right w:val="nil"/>
            </w:tcBorders>
            <w:shd w:val="clear" w:color="auto" w:fill="auto"/>
            <w:noWrap/>
            <w:vAlign w:val="bottom"/>
            <w:hideMark/>
          </w:tcPr>
          <w:p w14:paraId="7B84621A" w14:textId="77777777" w:rsidR="00552E90" w:rsidRPr="00552E90" w:rsidRDefault="00552E90" w:rsidP="00552E90">
            <w:pPr>
              <w:rPr>
                <w:i/>
                <w:iCs/>
                <w:color w:val="000000"/>
                <w:sz w:val="22"/>
                <w:szCs w:val="22"/>
              </w:rPr>
            </w:pPr>
            <w:r w:rsidRPr="00552E90">
              <w:rPr>
                <w:i/>
                <w:iCs/>
                <w:color w:val="000000"/>
                <w:sz w:val="22"/>
                <w:szCs w:val="22"/>
              </w:rPr>
              <w:t>Intercept</w:t>
            </w:r>
          </w:p>
        </w:tc>
        <w:tc>
          <w:tcPr>
            <w:tcW w:w="1705" w:type="dxa"/>
            <w:tcBorders>
              <w:top w:val="double" w:sz="4" w:space="0" w:color="auto"/>
              <w:left w:val="nil"/>
              <w:bottom w:val="nil"/>
              <w:right w:val="nil"/>
            </w:tcBorders>
            <w:shd w:val="clear" w:color="auto" w:fill="auto"/>
            <w:noWrap/>
            <w:vAlign w:val="bottom"/>
            <w:hideMark/>
          </w:tcPr>
          <w:p w14:paraId="20B47B3B" w14:textId="79BC46D6" w:rsidR="00552E90" w:rsidRPr="00552E90" w:rsidRDefault="00552E90" w:rsidP="00552E90">
            <w:pPr>
              <w:jc w:val="right"/>
              <w:rPr>
                <w:color w:val="000000"/>
                <w:sz w:val="22"/>
                <w:szCs w:val="22"/>
              </w:rPr>
            </w:pPr>
            <w:r w:rsidRPr="00552E90">
              <w:rPr>
                <w:color w:val="000000"/>
                <w:sz w:val="22"/>
                <w:szCs w:val="22"/>
              </w:rPr>
              <w:t>0,781</w:t>
            </w:r>
          </w:p>
        </w:tc>
        <w:tc>
          <w:tcPr>
            <w:tcW w:w="1705" w:type="dxa"/>
            <w:tcBorders>
              <w:top w:val="double" w:sz="4" w:space="0" w:color="auto"/>
              <w:left w:val="nil"/>
              <w:bottom w:val="nil"/>
              <w:right w:val="nil"/>
            </w:tcBorders>
            <w:shd w:val="clear" w:color="auto" w:fill="auto"/>
            <w:noWrap/>
            <w:vAlign w:val="bottom"/>
            <w:hideMark/>
          </w:tcPr>
          <w:p w14:paraId="46E83C9B" w14:textId="4D520409" w:rsidR="00552E90" w:rsidRPr="00552E90" w:rsidRDefault="00552E90" w:rsidP="00552E90">
            <w:pPr>
              <w:jc w:val="right"/>
              <w:rPr>
                <w:color w:val="000000"/>
                <w:sz w:val="22"/>
                <w:szCs w:val="22"/>
              </w:rPr>
            </w:pPr>
            <w:r w:rsidRPr="00552E90">
              <w:rPr>
                <w:color w:val="000000"/>
                <w:sz w:val="22"/>
                <w:szCs w:val="22"/>
              </w:rPr>
              <w:t>0,063</w:t>
            </w:r>
          </w:p>
        </w:tc>
        <w:tc>
          <w:tcPr>
            <w:tcW w:w="1705" w:type="dxa"/>
            <w:tcBorders>
              <w:top w:val="double" w:sz="4" w:space="0" w:color="auto"/>
              <w:left w:val="nil"/>
              <w:bottom w:val="nil"/>
              <w:right w:val="nil"/>
            </w:tcBorders>
            <w:shd w:val="clear" w:color="auto" w:fill="auto"/>
            <w:noWrap/>
            <w:vAlign w:val="bottom"/>
            <w:hideMark/>
          </w:tcPr>
          <w:p w14:paraId="5669ECA9" w14:textId="4B76EE04" w:rsidR="00552E90" w:rsidRPr="00552E90" w:rsidRDefault="00552E90" w:rsidP="00552E90">
            <w:pPr>
              <w:jc w:val="right"/>
              <w:rPr>
                <w:color w:val="000000"/>
                <w:sz w:val="22"/>
                <w:szCs w:val="22"/>
              </w:rPr>
            </w:pPr>
            <w:r w:rsidRPr="00552E90">
              <w:rPr>
                <w:color w:val="000000"/>
                <w:sz w:val="22"/>
                <w:szCs w:val="22"/>
              </w:rPr>
              <w:t>12,256</w:t>
            </w:r>
          </w:p>
        </w:tc>
        <w:tc>
          <w:tcPr>
            <w:tcW w:w="1705" w:type="dxa"/>
            <w:tcBorders>
              <w:top w:val="double" w:sz="4" w:space="0" w:color="auto"/>
              <w:left w:val="nil"/>
              <w:bottom w:val="nil"/>
              <w:right w:val="nil"/>
            </w:tcBorders>
            <w:shd w:val="clear" w:color="auto" w:fill="auto"/>
            <w:noWrap/>
            <w:vAlign w:val="bottom"/>
            <w:hideMark/>
          </w:tcPr>
          <w:p w14:paraId="38A8EDE1" w14:textId="4590E381" w:rsidR="00552E90" w:rsidRPr="0040484C" w:rsidRDefault="0040484C" w:rsidP="00552E90">
            <w:pPr>
              <w:jc w:val="right"/>
              <w:rPr>
                <w:color w:val="000000"/>
                <w:sz w:val="22"/>
                <w:szCs w:val="22"/>
                <w:lang w:val="es-ES"/>
              </w:rPr>
            </w:pPr>
            <w:r>
              <w:rPr>
                <w:color w:val="000000"/>
                <w:sz w:val="22"/>
                <w:szCs w:val="22"/>
                <w:lang w:val="es-ES"/>
              </w:rPr>
              <w:t>0,002</w:t>
            </w:r>
          </w:p>
        </w:tc>
      </w:tr>
      <w:tr w:rsidR="00D00F27" w:rsidRPr="00552E90" w14:paraId="130166AC" w14:textId="77777777" w:rsidTr="00552E90">
        <w:trPr>
          <w:trHeight w:val="312"/>
        </w:trPr>
        <w:tc>
          <w:tcPr>
            <w:tcW w:w="2517" w:type="dxa"/>
            <w:tcBorders>
              <w:top w:val="nil"/>
              <w:left w:val="nil"/>
              <w:bottom w:val="nil"/>
              <w:right w:val="nil"/>
            </w:tcBorders>
            <w:shd w:val="clear" w:color="auto" w:fill="auto"/>
            <w:noWrap/>
            <w:vAlign w:val="bottom"/>
          </w:tcPr>
          <w:p w14:paraId="2D0413D7" w14:textId="1FE0C052" w:rsidR="00D00F27" w:rsidRPr="00552E90" w:rsidRDefault="00D00F27" w:rsidP="00D00F27">
            <w:pPr>
              <w:rPr>
                <w:i/>
                <w:iCs/>
                <w:color w:val="000000"/>
                <w:sz w:val="22"/>
                <w:szCs w:val="22"/>
              </w:rPr>
            </w:pPr>
            <w:r>
              <w:rPr>
                <w:i/>
                <w:iCs/>
                <w:color w:val="000000"/>
                <w:sz w:val="22"/>
                <w:szCs w:val="22"/>
                <w:lang w:val="es-ES"/>
              </w:rPr>
              <w:t>log(</w:t>
            </w:r>
            <w:proofErr w:type="spellStart"/>
            <w:r>
              <w:rPr>
                <w:i/>
                <w:iCs/>
                <w:color w:val="000000"/>
                <w:sz w:val="22"/>
                <w:szCs w:val="22"/>
                <w:lang w:val="es-ES"/>
              </w:rPr>
              <w:t>wealth</w:t>
            </w:r>
            <w:proofErr w:type="spellEnd"/>
            <w:r>
              <w:rPr>
                <w:i/>
                <w:iCs/>
                <w:color w:val="000000"/>
                <w:sz w:val="22"/>
                <w:szCs w:val="22"/>
                <w:lang w:val="es-ES"/>
              </w:rPr>
              <w:t>)</w:t>
            </w:r>
          </w:p>
        </w:tc>
        <w:tc>
          <w:tcPr>
            <w:tcW w:w="1705" w:type="dxa"/>
            <w:tcBorders>
              <w:top w:val="nil"/>
              <w:left w:val="nil"/>
              <w:bottom w:val="nil"/>
              <w:right w:val="nil"/>
            </w:tcBorders>
            <w:shd w:val="clear" w:color="auto" w:fill="auto"/>
            <w:noWrap/>
            <w:vAlign w:val="bottom"/>
          </w:tcPr>
          <w:p w14:paraId="1079DAFA" w14:textId="0C3EC895" w:rsidR="00D00F27" w:rsidRPr="00552E90" w:rsidRDefault="00D00F27" w:rsidP="00D00F27">
            <w:pPr>
              <w:jc w:val="right"/>
              <w:rPr>
                <w:color w:val="000000"/>
                <w:sz w:val="22"/>
                <w:szCs w:val="22"/>
              </w:rPr>
            </w:pPr>
            <w:r w:rsidRPr="00552E90">
              <w:rPr>
                <w:color w:val="000000"/>
                <w:sz w:val="22"/>
                <w:szCs w:val="22"/>
              </w:rPr>
              <w:t>-0,003</w:t>
            </w:r>
          </w:p>
        </w:tc>
        <w:tc>
          <w:tcPr>
            <w:tcW w:w="1705" w:type="dxa"/>
            <w:tcBorders>
              <w:top w:val="nil"/>
              <w:left w:val="nil"/>
              <w:bottom w:val="nil"/>
              <w:right w:val="nil"/>
            </w:tcBorders>
            <w:shd w:val="clear" w:color="auto" w:fill="auto"/>
            <w:noWrap/>
            <w:vAlign w:val="bottom"/>
          </w:tcPr>
          <w:p w14:paraId="2DD26151" w14:textId="5FA1B7D8" w:rsidR="00D00F27" w:rsidRPr="00552E90" w:rsidRDefault="00D00F27" w:rsidP="00D00F27">
            <w:pPr>
              <w:jc w:val="right"/>
              <w:rPr>
                <w:color w:val="000000"/>
                <w:sz w:val="22"/>
                <w:szCs w:val="22"/>
              </w:rPr>
            </w:pPr>
            <w:r w:rsidRPr="00552E90">
              <w:rPr>
                <w:color w:val="000000"/>
                <w:sz w:val="22"/>
                <w:szCs w:val="22"/>
              </w:rPr>
              <w:t>0,007</w:t>
            </w:r>
          </w:p>
        </w:tc>
        <w:tc>
          <w:tcPr>
            <w:tcW w:w="1705" w:type="dxa"/>
            <w:tcBorders>
              <w:top w:val="nil"/>
              <w:left w:val="nil"/>
              <w:bottom w:val="nil"/>
              <w:right w:val="nil"/>
            </w:tcBorders>
            <w:shd w:val="clear" w:color="auto" w:fill="auto"/>
            <w:noWrap/>
            <w:vAlign w:val="bottom"/>
          </w:tcPr>
          <w:p w14:paraId="7AEC389D" w14:textId="5A16D0C1" w:rsidR="00D00F27" w:rsidRPr="00552E90" w:rsidRDefault="00D00F27" w:rsidP="00D00F27">
            <w:pPr>
              <w:jc w:val="right"/>
              <w:rPr>
                <w:color w:val="000000"/>
                <w:sz w:val="22"/>
                <w:szCs w:val="22"/>
              </w:rPr>
            </w:pPr>
            <w:r w:rsidRPr="00552E90">
              <w:rPr>
                <w:color w:val="000000"/>
                <w:sz w:val="22"/>
                <w:szCs w:val="22"/>
              </w:rPr>
              <w:t>-0,443</w:t>
            </w:r>
          </w:p>
        </w:tc>
        <w:tc>
          <w:tcPr>
            <w:tcW w:w="1705" w:type="dxa"/>
            <w:tcBorders>
              <w:top w:val="nil"/>
              <w:left w:val="nil"/>
              <w:bottom w:val="nil"/>
              <w:right w:val="nil"/>
            </w:tcBorders>
            <w:shd w:val="clear" w:color="auto" w:fill="auto"/>
            <w:noWrap/>
            <w:vAlign w:val="bottom"/>
          </w:tcPr>
          <w:p w14:paraId="5344D738" w14:textId="38535C8C" w:rsidR="00D00F27" w:rsidRPr="00552E90" w:rsidRDefault="00D00F27" w:rsidP="00D00F27">
            <w:pPr>
              <w:jc w:val="right"/>
              <w:rPr>
                <w:color w:val="000000"/>
                <w:sz w:val="22"/>
                <w:szCs w:val="22"/>
              </w:rPr>
            </w:pPr>
            <w:r w:rsidRPr="00552E90">
              <w:rPr>
                <w:color w:val="000000"/>
                <w:sz w:val="22"/>
                <w:szCs w:val="22"/>
              </w:rPr>
              <w:t>0,657</w:t>
            </w:r>
          </w:p>
        </w:tc>
      </w:tr>
      <w:tr w:rsidR="00D00F27" w:rsidRPr="00552E90" w14:paraId="0E2954F8" w14:textId="77777777" w:rsidTr="00552E90">
        <w:trPr>
          <w:trHeight w:val="312"/>
        </w:trPr>
        <w:tc>
          <w:tcPr>
            <w:tcW w:w="2517" w:type="dxa"/>
            <w:tcBorders>
              <w:top w:val="nil"/>
              <w:left w:val="nil"/>
              <w:bottom w:val="nil"/>
              <w:right w:val="nil"/>
            </w:tcBorders>
            <w:shd w:val="clear" w:color="auto" w:fill="auto"/>
            <w:noWrap/>
            <w:vAlign w:val="bottom"/>
            <w:hideMark/>
          </w:tcPr>
          <w:p w14:paraId="6B769E34" w14:textId="77777777" w:rsidR="00D00F27" w:rsidRPr="00552E90" w:rsidRDefault="00D00F27" w:rsidP="00D00F27">
            <w:pPr>
              <w:rPr>
                <w:i/>
                <w:iCs/>
                <w:color w:val="000000"/>
                <w:sz w:val="22"/>
                <w:szCs w:val="22"/>
              </w:rPr>
            </w:pPr>
            <w:r w:rsidRPr="00552E90">
              <w:rPr>
                <w:i/>
                <w:iCs/>
                <w:color w:val="000000"/>
                <w:sz w:val="22"/>
                <w:szCs w:val="22"/>
              </w:rPr>
              <w:t>age</w:t>
            </w:r>
          </w:p>
        </w:tc>
        <w:tc>
          <w:tcPr>
            <w:tcW w:w="1705" w:type="dxa"/>
            <w:tcBorders>
              <w:top w:val="nil"/>
              <w:left w:val="nil"/>
              <w:bottom w:val="nil"/>
              <w:right w:val="nil"/>
            </w:tcBorders>
            <w:shd w:val="clear" w:color="auto" w:fill="auto"/>
            <w:noWrap/>
            <w:vAlign w:val="bottom"/>
            <w:hideMark/>
          </w:tcPr>
          <w:p w14:paraId="40A01658" w14:textId="010823BD" w:rsidR="00D00F27" w:rsidRPr="0040484C" w:rsidRDefault="00D00F27" w:rsidP="00D00F27">
            <w:pPr>
              <w:jc w:val="right"/>
              <w:rPr>
                <w:color w:val="000000"/>
                <w:sz w:val="22"/>
                <w:szCs w:val="22"/>
                <w:lang w:val="es-ES"/>
              </w:rPr>
            </w:pPr>
            <w:r w:rsidRPr="00552E90">
              <w:rPr>
                <w:color w:val="000000"/>
                <w:sz w:val="22"/>
                <w:szCs w:val="22"/>
              </w:rPr>
              <w:t>0,00</w:t>
            </w:r>
            <w:r>
              <w:rPr>
                <w:color w:val="000000"/>
                <w:sz w:val="22"/>
                <w:szCs w:val="22"/>
                <w:lang w:val="es-ES"/>
              </w:rPr>
              <w:t>1</w:t>
            </w:r>
          </w:p>
        </w:tc>
        <w:tc>
          <w:tcPr>
            <w:tcW w:w="1705" w:type="dxa"/>
            <w:tcBorders>
              <w:top w:val="nil"/>
              <w:left w:val="nil"/>
              <w:bottom w:val="nil"/>
              <w:right w:val="nil"/>
            </w:tcBorders>
            <w:shd w:val="clear" w:color="auto" w:fill="auto"/>
            <w:noWrap/>
            <w:vAlign w:val="bottom"/>
            <w:hideMark/>
          </w:tcPr>
          <w:p w14:paraId="588605B5" w14:textId="475C0B9A" w:rsidR="00D00F27" w:rsidRPr="0040484C" w:rsidRDefault="00D00F27" w:rsidP="00D00F27">
            <w:pPr>
              <w:jc w:val="right"/>
              <w:rPr>
                <w:color w:val="000000"/>
                <w:sz w:val="22"/>
                <w:szCs w:val="22"/>
                <w:lang w:val="es-ES"/>
              </w:rPr>
            </w:pPr>
            <w:r w:rsidRPr="00552E90">
              <w:rPr>
                <w:color w:val="000000"/>
                <w:sz w:val="22"/>
                <w:szCs w:val="22"/>
              </w:rPr>
              <w:t>0,00</w:t>
            </w:r>
            <w:r>
              <w:rPr>
                <w:color w:val="000000"/>
                <w:sz w:val="22"/>
                <w:szCs w:val="22"/>
                <w:lang w:val="es-ES"/>
              </w:rPr>
              <w:t>1</w:t>
            </w:r>
          </w:p>
        </w:tc>
        <w:tc>
          <w:tcPr>
            <w:tcW w:w="1705" w:type="dxa"/>
            <w:tcBorders>
              <w:top w:val="nil"/>
              <w:left w:val="nil"/>
              <w:bottom w:val="nil"/>
              <w:right w:val="nil"/>
            </w:tcBorders>
            <w:shd w:val="clear" w:color="auto" w:fill="auto"/>
            <w:noWrap/>
            <w:vAlign w:val="bottom"/>
            <w:hideMark/>
          </w:tcPr>
          <w:p w14:paraId="2895E57E" w14:textId="031E8782" w:rsidR="00D00F27" w:rsidRPr="00552E90" w:rsidRDefault="00D00F27" w:rsidP="00D00F27">
            <w:pPr>
              <w:jc w:val="right"/>
              <w:rPr>
                <w:color w:val="000000"/>
                <w:sz w:val="22"/>
                <w:szCs w:val="22"/>
              </w:rPr>
            </w:pPr>
            <w:r w:rsidRPr="00552E90">
              <w:rPr>
                <w:color w:val="000000"/>
                <w:sz w:val="22"/>
                <w:szCs w:val="22"/>
              </w:rPr>
              <w:t>-0,132</w:t>
            </w:r>
          </w:p>
        </w:tc>
        <w:tc>
          <w:tcPr>
            <w:tcW w:w="1705" w:type="dxa"/>
            <w:tcBorders>
              <w:top w:val="nil"/>
              <w:left w:val="nil"/>
              <w:bottom w:val="nil"/>
              <w:right w:val="nil"/>
            </w:tcBorders>
            <w:shd w:val="clear" w:color="auto" w:fill="auto"/>
            <w:noWrap/>
            <w:vAlign w:val="bottom"/>
            <w:hideMark/>
          </w:tcPr>
          <w:p w14:paraId="1991EC77" w14:textId="4F39446B" w:rsidR="00D00F27" w:rsidRPr="00552E90" w:rsidRDefault="00D00F27" w:rsidP="00D00F27">
            <w:pPr>
              <w:jc w:val="right"/>
              <w:rPr>
                <w:color w:val="000000"/>
                <w:sz w:val="22"/>
                <w:szCs w:val="22"/>
              </w:rPr>
            </w:pPr>
            <w:r w:rsidRPr="00552E90">
              <w:rPr>
                <w:color w:val="000000"/>
                <w:sz w:val="22"/>
                <w:szCs w:val="22"/>
              </w:rPr>
              <w:t>0,894</w:t>
            </w:r>
          </w:p>
        </w:tc>
      </w:tr>
      <w:tr w:rsidR="00D00F27" w:rsidRPr="00552E90" w14:paraId="0835AC74" w14:textId="77777777" w:rsidTr="00552E90">
        <w:trPr>
          <w:trHeight w:val="312"/>
        </w:trPr>
        <w:tc>
          <w:tcPr>
            <w:tcW w:w="2517" w:type="dxa"/>
            <w:tcBorders>
              <w:top w:val="nil"/>
              <w:left w:val="nil"/>
              <w:bottom w:val="nil"/>
              <w:right w:val="nil"/>
            </w:tcBorders>
            <w:shd w:val="clear" w:color="auto" w:fill="auto"/>
            <w:noWrap/>
            <w:vAlign w:val="bottom"/>
            <w:hideMark/>
          </w:tcPr>
          <w:p w14:paraId="37503F91" w14:textId="6232D512" w:rsidR="00D00F27" w:rsidRPr="00552E90" w:rsidRDefault="00D00F27" w:rsidP="00D00F27">
            <w:pPr>
              <w:rPr>
                <w:i/>
                <w:iCs/>
                <w:color w:val="000000"/>
                <w:sz w:val="22"/>
                <w:szCs w:val="22"/>
                <w:lang w:val="es-ES"/>
              </w:rPr>
            </w:pPr>
            <w:r>
              <w:rPr>
                <w:i/>
                <w:iCs/>
                <w:color w:val="000000"/>
                <w:sz w:val="22"/>
                <w:szCs w:val="22"/>
                <w:lang w:val="es-ES"/>
              </w:rPr>
              <w:t>log(</w:t>
            </w:r>
            <w:proofErr w:type="spellStart"/>
            <w:r>
              <w:rPr>
                <w:i/>
                <w:iCs/>
                <w:color w:val="000000"/>
                <w:sz w:val="22"/>
                <w:szCs w:val="22"/>
                <w:lang w:val="es-ES"/>
              </w:rPr>
              <w:t>income</w:t>
            </w:r>
            <w:proofErr w:type="spellEnd"/>
            <w:r>
              <w:rPr>
                <w:i/>
                <w:iCs/>
                <w:color w:val="000000"/>
                <w:sz w:val="22"/>
                <w:szCs w:val="22"/>
                <w:lang w:val="es-ES"/>
              </w:rPr>
              <w:t>)</w:t>
            </w:r>
          </w:p>
        </w:tc>
        <w:tc>
          <w:tcPr>
            <w:tcW w:w="1705" w:type="dxa"/>
            <w:tcBorders>
              <w:top w:val="nil"/>
              <w:left w:val="nil"/>
              <w:bottom w:val="nil"/>
              <w:right w:val="nil"/>
            </w:tcBorders>
            <w:shd w:val="clear" w:color="auto" w:fill="auto"/>
            <w:noWrap/>
            <w:vAlign w:val="bottom"/>
            <w:hideMark/>
          </w:tcPr>
          <w:p w14:paraId="1CA37C63" w14:textId="598A4801" w:rsidR="00D00F27" w:rsidRPr="0040484C" w:rsidRDefault="00D00F27" w:rsidP="00D00F27">
            <w:pPr>
              <w:jc w:val="right"/>
              <w:rPr>
                <w:color w:val="000000"/>
                <w:sz w:val="22"/>
                <w:szCs w:val="22"/>
                <w:lang w:val="es-ES"/>
              </w:rPr>
            </w:pPr>
            <w:r w:rsidRPr="00552E90">
              <w:rPr>
                <w:color w:val="000000"/>
                <w:sz w:val="22"/>
                <w:szCs w:val="22"/>
              </w:rPr>
              <w:t>-0,00</w:t>
            </w:r>
            <w:r>
              <w:rPr>
                <w:color w:val="000000"/>
                <w:sz w:val="22"/>
                <w:szCs w:val="22"/>
                <w:lang w:val="es-ES"/>
              </w:rPr>
              <w:t>1</w:t>
            </w:r>
          </w:p>
        </w:tc>
        <w:tc>
          <w:tcPr>
            <w:tcW w:w="1705" w:type="dxa"/>
            <w:tcBorders>
              <w:top w:val="nil"/>
              <w:left w:val="nil"/>
              <w:bottom w:val="nil"/>
              <w:right w:val="nil"/>
            </w:tcBorders>
            <w:shd w:val="clear" w:color="auto" w:fill="auto"/>
            <w:noWrap/>
            <w:vAlign w:val="bottom"/>
            <w:hideMark/>
          </w:tcPr>
          <w:p w14:paraId="46E7AC38" w14:textId="57D8C8CC" w:rsidR="00D00F27" w:rsidRPr="00552E90" w:rsidRDefault="00D00F27" w:rsidP="00D00F27">
            <w:pPr>
              <w:jc w:val="right"/>
              <w:rPr>
                <w:color w:val="000000"/>
                <w:sz w:val="22"/>
                <w:szCs w:val="22"/>
              </w:rPr>
            </w:pPr>
            <w:r w:rsidRPr="00552E90">
              <w:rPr>
                <w:color w:val="000000"/>
                <w:sz w:val="22"/>
                <w:szCs w:val="22"/>
              </w:rPr>
              <w:t>0,006</w:t>
            </w:r>
          </w:p>
        </w:tc>
        <w:tc>
          <w:tcPr>
            <w:tcW w:w="1705" w:type="dxa"/>
            <w:tcBorders>
              <w:top w:val="nil"/>
              <w:left w:val="nil"/>
              <w:bottom w:val="nil"/>
              <w:right w:val="nil"/>
            </w:tcBorders>
            <w:shd w:val="clear" w:color="auto" w:fill="auto"/>
            <w:noWrap/>
            <w:vAlign w:val="bottom"/>
            <w:hideMark/>
          </w:tcPr>
          <w:p w14:paraId="40C6BA68" w14:textId="607E0E3B" w:rsidR="00D00F27" w:rsidRPr="00552E90" w:rsidRDefault="00D00F27" w:rsidP="00D00F27">
            <w:pPr>
              <w:jc w:val="right"/>
              <w:rPr>
                <w:color w:val="000000"/>
                <w:sz w:val="22"/>
                <w:szCs w:val="22"/>
              </w:rPr>
            </w:pPr>
            <w:r w:rsidRPr="00552E90">
              <w:rPr>
                <w:color w:val="000000"/>
                <w:sz w:val="22"/>
                <w:szCs w:val="22"/>
              </w:rPr>
              <w:t>-0,130</w:t>
            </w:r>
          </w:p>
        </w:tc>
        <w:tc>
          <w:tcPr>
            <w:tcW w:w="1705" w:type="dxa"/>
            <w:tcBorders>
              <w:top w:val="nil"/>
              <w:left w:val="nil"/>
              <w:bottom w:val="nil"/>
              <w:right w:val="nil"/>
            </w:tcBorders>
            <w:shd w:val="clear" w:color="auto" w:fill="auto"/>
            <w:noWrap/>
            <w:vAlign w:val="bottom"/>
            <w:hideMark/>
          </w:tcPr>
          <w:p w14:paraId="22EA0E5C" w14:textId="7E3D47C7" w:rsidR="00D00F27" w:rsidRPr="0040484C" w:rsidRDefault="00D00F27" w:rsidP="00D00F27">
            <w:pPr>
              <w:jc w:val="right"/>
              <w:rPr>
                <w:color w:val="000000"/>
                <w:sz w:val="22"/>
                <w:szCs w:val="22"/>
                <w:lang w:val="es-ES"/>
              </w:rPr>
            </w:pPr>
            <w:r w:rsidRPr="00552E90">
              <w:rPr>
                <w:color w:val="000000"/>
                <w:sz w:val="22"/>
                <w:szCs w:val="22"/>
              </w:rPr>
              <w:t>0,896</w:t>
            </w:r>
          </w:p>
        </w:tc>
      </w:tr>
      <w:tr w:rsidR="00D00F27" w:rsidRPr="00552E90" w14:paraId="0C8B3561" w14:textId="77777777" w:rsidTr="00552E90">
        <w:trPr>
          <w:trHeight w:val="312"/>
        </w:trPr>
        <w:tc>
          <w:tcPr>
            <w:tcW w:w="2517" w:type="dxa"/>
            <w:tcBorders>
              <w:top w:val="nil"/>
              <w:left w:val="nil"/>
              <w:bottom w:val="nil"/>
              <w:right w:val="nil"/>
            </w:tcBorders>
            <w:shd w:val="clear" w:color="auto" w:fill="auto"/>
            <w:noWrap/>
            <w:vAlign w:val="bottom"/>
            <w:hideMark/>
          </w:tcPr>
          <w:p w14:paraId="0E258721" w14:textId="60E63BB0" w:rsidR="00D00F27" w:rsidRPr="00552E90" w:rsidRDefault="00D00F27" w:rsidP="00D00F27">
            <w:pPr>
              <w:rPr>
                <w:i/>
                <w:iCs/>
                <w:color w:val="000000"/>
                <w:sz w:val="22"/>
                <w:szCs w:val="22"/>
                <w:lang w:val="es-ES"/>
              </w:rPr>
            </w:pPr>
            <w:proofErr w:type="spellStart"/>
            <w:r>
              <w:rPr>
                <w:i/>
                <w:iCs/>
                <w:color w:val="000000"/>
                <w:sz w:val="22"/>
                <w:szCs w:val="22"/>
                <w:lang w:val="es-ES"/>
              </w:rPr>
              <w:t>gender</w:t>
            </w:r>
            <w:proofErr w:type="spellEnd"/>
          </w:p>
        </w:tc>
        <w:tc>
          <w:tcPr>
            <w:tcW w:w="1705" w:type="dxa"/>
            <w:tcBorders>
              <w:top w:val="nil"/>
              <w:left w:val="nil"/>
              <w:bottom w:val="nil"/>
              <w:right w:val="nil"/>
            </w:tcBorders>
            <w:shd w:val="clear" w:color="auto" w:fill="auto"/>
            <w:noWrap/>
            <w:vAlign w:val="bottom"/>
            <w:hideMark/>
          </w:tcPr>
          <w:p w14:paraId="50BDBE2D" w14:textId="4EB2BB66" w:rsidR="00D00F27" w:rsidRPr="00552E90" w:rsidRDefault="00D00F27" w:rsidP="00D00F27">
            <w:pPr>
              <w:jc w:val="right"/>
              <w:rPr>
                <w:color w:val="000000"/>
                <w:sz w:val="22"/>
                <w:szCs w:val="22"/>
              </w:rPr>
            </w:pPr>
            <w:r w:rsidRPr="00552E90">
              <w:rPr>
                <w:color w:val="000000"/>
                <w:sz w:val="22"/>
                <w:szCs w:val="22"/>
              </w:rPr>
              <w:t>-0,123</w:t>
            </w:r>
          </w:p>
        </w:tc>
        <w:tc>
          <w:tcPr>
            <w:tcW w:w="1705" w:type="dxa"/>
            <w:tcBorders>
              <w:top w:val="nil"/>
              <w:left w:val="nil"/>
              <w:bottom w:val="nil"/>
              <w:right w:val="nil"/>
            </w:tcBorders>
            <w:shd w:val="clear" w:color="auto" w:fill="auto"/>
            <w:noWrap/>
            <w:vAlign w:val="bottom"/>
            <w:hideMark/>
          </w:tcPr>
          <w:p w14:paraId="1A359F3D" w14:textId="25BD5C93" w:rsidR="00D00F27" w:rsidRPr="00552E90" w:rsidRDefault="00D00F27" w:rsidP="00D00F27">
            <w:pPr>
              <w:jc w:val="right"/>
              <w:rPr>
                <w:color w:val="000000"/>
                <w:sz w:val="22"/>
                <w:szCs w:val="22"/>
              </w:rPr>
            </w:pPr>
            <w:r w:rsidRPr="00552E90">
              <w:rPr>
                <w:color w:val="000000"/>
                <w:sz w:val="22"/>
                <w:szCs w:val="22"/>
              </w:rPr>
              <w:t>0,028</w:t>
            </w:r>
          </w:p>
        </w:tc>
        <w:tc>
          <w:tcPr>
            <w:tcW w:w="1705" w:type="dxa"/>
            <w:tcBorders>
              <w:top w:val="nil"/>
              <w:left w:val="nil"/>
              <w:bottom w:val="nil"/>
              <w:right w:val="nil"/>
            </w:tcBorders>
            <w:shd w:val="clear" w:color="auto" w:fill="auto"/>
            <w:noWrap/>
            <w:vAlign w:val="bottom"/>
            <w:hideMark/>
          </w:tcPr>
          <w:p w14:paraId="162AA74D" w14:textId="11A4D9C7" w:rsidR="00D00F27" w:rsidRPr="00552E90" w:rsidRDefault="00D00F27" w:rsidP="00D00F27">
            <w:pPr>
              <w:jc w:val="right"/>
              <w:rPr>
                <w:color w:val="000000"/>
                <w:sz w:val="22"/>
                <w:szCs w:val="22"/>
              </w:rPr>
            </w:pPr>
            <w:r w:rsidRPr="00552E90">
              <w:rPr>
                <w:color w:val="000000"/>
                <w:sz w:val="22"/>
                <w:szCs w:val="22"/>
              </w:rPr>
              <w:t>-4,317</w:t>
            </w:r>
          </w:p>
        </w:tc>
        <w:tc>
          <w:tcPr>
            <w:tcW w:w="1705" w:type="dxa"/>
            <w:tcBorders>
              <w:top w:val="nil"/>
              <w:left w:val="nil"/>
              <w:bottom w:val="nil"/>
              <w:right w:val="nil"/>
            </w:tcBorders>
            <w:shd w:val="clear" w:color="auto" w:fill="auto"/>
            <w:noWrap/>
            <w:vAlign w:val="bottom"/>
            <w:hideMark/>
          </w:tcPr>
          <w:p w14:paraId="7D60FB07" w14:textId="3621C449" w:rsidR="00D00F27" w:rsidRPr="0040484C" w:rsidRDefault="00D00F27" w:rsidP="00D00F27">
            <w:pPr>
              <w:jc w:val="right"/>
              <w:rPr>
                <w:color w:val="000000"/>
                <w:sz w:val="22"/>
                <w:szCs w:val="22"/>
                <w:lang w:val="es-ES"/>
              </w:rPr>
            </w:pPr>
            <w:r>
              <w:rPr>
                <w:color w:val="000000"/>
                <w:sz w:val="22"/>
                <w:szCs w:val="22"/>
                <w:lang w:val="es-ES"/>
              </w:rPr>
              <w:t>0,001</w:t>
            </w:r>
          </w:p>
        </w:tc>
      </w:tr>
      <w:tr w:rsidR="00D00F27" w:rsidRPr="00552E90" w14:paraId="771AC6A7" w14:textId="77777777" w:rsidTr="00552E90">
        <w:trPr>
          <w:trHeight w:val="312"/>
        </w:trPr>
        <w:tc>
          <w:tcPr>
            <w:tcW w:w="2517" w:type="dxa"/>
            <w:tcBorders>
              <w:top w:val="nil"/>
              <w:left w:val="nil"/>
              <w:bottom w:val="nil"/>
              <w:right w:val="nil"/>
            </w:tcBorders>
            <w:shd w:val="clear" w:color="auto" w:fill="auto"/>
            <w:noWrap/>
            <w:vAlign w:val="bottom"/>
            <w:hideMark/>
          </w:tcPr>
          <w:p w14:paraId="538B8B33" w14:textId="01B60FBD" w:rsidR="00D00F27" w:rsidRPr="00552E90" w:rsidRDefault="00D00F27" w:rsidP="00D00F27">
            <w:pPr>
              <w:rPr>
                <w:i/>
                <w:iCs/>
                <w:color w:val="000000"/>
                <w:sz w:val="22"/>
                <w:szCs w:val="22"/>
                <w:lang w:val="es-ES"/>
              </w:rPr>
            </w:pPr>
            <w:proofErr w:type="spellStart"/>
            <w:r>
              <w:rPr>
                <w:i/>
                <w:iCs/>
                <w:color w:val="000000"/>
                <w:sz w:val="22"/>
                <w:szCs w:val="22"/>
                <w:lang w:val="es-ES"/>
              </w:rPr>
              <w:t>education</w:t>
            </w:r>
            <w:proofErr w:type="spellEnd"/>
          </w:p>
        </w:tc>
        <w:tc>
          <w:tcPr>
            <w:tcW w:w="1705" w:type="dxa"/>
            <w:tcBorders>
              <w:top w:val="nil"/>
              <w:left w:val="nil"/>
              <w:bottom w:val="nil"/>
              <w:right w:val="nil"/>
            </w:tcBorders>
            <w:shd w:val="clear" w:color="auto" w:fill="auto"/>
            <w:noWrap/>
            <w:vAlign w:val="bottom"/>
            <w:hideMark/>
          </w:tcPr>
          <w:p w14:paraId="2B680FE0" w14:textId="2864C1C7" w:rsidR="00D00F27" w:rsidRPr="0040484C" w:rsidRDefault="00D00F27" w:rsidP="00D00F27">
            <w:pPr>
              <w:jc w:val="right"/>
              <w:rPr>
                <w:color w:val="000000"/>
                <w:sz w:val="22"/>
                <w:szCs w:val="22"/>
                <w:lang w:val="es-ES"/>
              </w:rPr>
            </w:pPr>
            <w:r w:rsidRPr="00552E90">
              <w:rPr>
                <w:color w:val="000000"/>
                <w:sz w:val="22"/>
                <w:szCs w:val="22"/>
              </w:rPr>
              <w:t>0,05</w:t>
            </w:r>
            <w:r>
              <w:rPr>
                <w:color w:val="000000"/>
                <w:sz w:val="22"/>
                <w:szCs w:val="22"/>
                <w:lang w:val="es-ES"/>
              </w:rPr>
              <w:t>1</w:t>
            </w:r>
          </w:p>
        </w:tc>
        <w:tc>
          <w:tcPr>
            <w:tcW w:w="1705" w:type="dxa"/>
            <w:tcBorders>
              <w:top w:val="nil"/>
              <w:left w:val="nil"/>
              <w:bottom w:val="nil"/>
              <w:right w:val="nil"/>
            </w:tcBorders>
            <w:shd w:val="clear" w:color="auto" w:fill="auto"/>
            <w:noWrap/>
            <w:vAlign w:val="bottom"/>
            <w:hideMark/>
          </w:tcPr>
          <w:p w14:paraId="5235D0E0" w14:textId="6E1F1EF1" w:rsidR="00D00F27" w:rsidRPr="00552E90" w:rsidRDefault="00D00F27" w:rsidP="00D00F27">
            <w:pPr>
              <w:jc w:val="right"/>
              <w:rPr>
                <w:color w:val="000000"/>
                <w:sz w:val="22"/>
                <w:szCs w:val="22"/>
              </w:rPr>
            </w:pPr>
            <w:r w:rsidRPr="00552E90">
              <w:rPr>
                <w:color w:val="000000"/>
                <w:sz w:val="22"/>
                <w:szCs w:val="22"/>
              </w:rPr>
              <w:t>0,026</w:t>
            </w:r>
          </w:p>
        </w:tc>
        <w:tc>
          <w:tcPr>
            <w:tcW w:w="1705" w:type="dxa"/>
            <w:tcBorders>
              <w:top w:val="nil"/>
              <w:left w:val="nil"/>
              <w:bottom w:val="nil"/>
              <w:right w:val="nil"/>
            </w:tcBorders>
            <w:shd w:val="clear" w:color="auto" w:fill="auto"/>
            <w:noWrap/>
            <w:vAlign w:val="bottom"/>
            <w:hideMark/>
          </w:tcPr>
          <w:p w14:paraId="759B0CAB" w14:textId="378CEA8B" w:rsidR="00D00F27" w:rsidRPr="00552E90" w:rsidRDefault="00D00F27" w:rsidP="00D00F27">
            <w:pPr>
              <w:jc w:val="right"/>
              <w:rPr>
                <w:color w:val="000000"/>
                <w:sz w:val="22"/>
                <w:szCs w:val="22"/>
              </w:rPr>
            </w:pPr>
            <w:r w:rsidRPr="00552E90">
              <w:rPr>
                <w:color w:val="000000"/>
                <w:sz w:val="22"/>
                <w:szCs w:val="22"/>
              </w:rPr>
              <w:t>1,886</w:t>
            </w:r>
          </w:p>
        </w:tc>
        <w:tc>
          <w:tcPr>
            <w:tcW w:w="1705" w:type="dxa"/>
            <w:tcBorders>
              <w:top w:val="nil"/>
              <w:left w:val="nil"/>
              <w:bottom w:val="nil"/>
              <w:right w:val="nil"/>
            </w:tcBorders>
            <w:shd w:val="clear" w:color="auto" w:fill="auto"/>
            <w:noWrap/>
            <w:vAlign w:val="bottom"/>
            <w:hideMark/>
          </w:tcPr>
          <w:p w14:paraId="58420085" w14:textId="7F048F28" w:rsidR="00D00F27" w:rsidRPr="00D47B82" w:rsidRDefault="00D00F27" w:rsidP="00D00F27">
            <w:pPr>
              <w:jc w:val="right"/>
              <w:rPr>
                <w:color w:val="000000"/>
                <w:sz w:val="22"/>
                <w:szCs w:val="22"/>
                <w:lang w:val="es-ES"/>
              </w:rPr>
            </w:pPr>
            <w:r w:rsidRPr="00552E90">
              <w:rPr>
                <w:color w:val="000000"/>
                <w:sz w:val="22"/>
                <w:szCs w:val="22"/>
              </w:rPr>
              <w:t>0,059</w:t>
            </w:r>
          </w:p>
        </w:tc>
      </w:tr>
      <w:tr w:rsidR="00D00F27" w:rsidRPr="00552E90" w14:paraId="5C7BBFCD" w14:textId="77777777" w:rsidTr="00552E90">
        <w:trPr>
          <w:trHeight w:val="312"/>
        </w:trPr>
        <w:tc>
          <w:tcPr>
            <w:tcW w:w="2517" w:type="dxa"/>
            <w:tcBorders>
              <w:top w:val="nil"/>
              <w:left w:val="nil"/>
              <w:bottom w:val="nil"/>
              <w:right w:val="nil"/>
            </w:tcBorders>
            <w:shd w:val="clear" w:color="auto" w:fill="auto"/>
            <w:noWrap/>
            <w:vAlign w:val="bottom"/>
            <w:hideMark/>
          </w:tcPr>
          <w:p w14:paraId="5943FACA" w14:textId="2AA7AE01" w:rsidR="00D00F27" w:rsidRPr="00552E90" w:rsidRDefault="00D00F27" w:rsidP="00D00F27">
            <w:pPr>
              <w:rPr>
                <w:i/>
                <w:iCs/>
                <w:color w:val="000000"/>
                <w:sz w:val="22"/>
                <w:szCs w:val="22"/>
                <w:lang w:val="es-ES"/>
              </w:rPr>
            </w:pPr>
            <w:proofErr w:type="spellStart"/>
            <w:r>
              <w:rPr>
                <w:i/>
                <w:iCs/>
                <w:color w:val="000000"/>
                <w:sz w:val="22"/>
                <w:szCs w:val="22"/>
                <w:lang w:val="es-ES"/>
              </w:rPr>
              <w:t>accommodation</w:t>
            </w:r>
            <w:proofErr w:type="spellEnd"/>
          </w:p>
        </w:tc>
        <w:tc>
          <w:tcPr>
            <w:tcW w:w="1705" w:type="dxa"/>
            <w:tcBorders>
              <w:top w:val="nil"/>
              <w:left w:val="nil"/>
              <w:bottom w:val="nil"/>
              <w:right w:val="nil"/>
            </w:tcBorders>
            <w:shd w:val="clear" w:color="auto" w:fill="auto"/>
            <w:noWrap/>
            <w:vAlign w:val="bottom"/>
            <w:hideMark/>
          </w:tcPr>
          <w:p w14:paraId="1FF8F69E" w14:textId="670CEB70" w:rsidR="00D00F27" w:rsidRPr="00552E90" w:rsidRDefault="00D00F27" w:rsidP="00D00F27">
            <w:pPr>
              <w:jc w:val="right"/>
              <w:rPr>
                <w:color w:val="000000"/>
                <w:sz w:val="22"/>
                <w:szCs w:val="22"/>
              </w:rPr>
            </w:pPr>
            <w:r w:rsidRPr="00552E90">
              <w:rPr>
                <w:color w:val="000000"/>
                <w:sz w:val="22"/>
                <w:szCs w:val="22"/>
              </w:rPr>
              <w:t>-0,179</w:t>
            </w:r>
          </w:p>
        </w:tc>
        <w:tc>
          <w:tcPr>
            <w:tcW w:w="1705" w:type="dxa"/>
            <w:tcBorders>
              <w:top w:val="nil"/>
              <w:left w:val="nil"/>
              <w:bottom w:val="nil"/>
              <w:right w:val="nil"/>
            </w:tcBorders>
            <w:shd w:val="clear" w:color="auto" w:fill="auto"/>
            <w:noWrap/>
            <w:vAlign w:val="bottom"/>
            <w:hideMark/>
          </w:tcPr>
          <w:p w14:paraId="2D19E012" w14:textId="2376D854" w:rsidR="00D00F27" w:rsidRPr="00552E90" w:rsidRDefault="00D00F27" w:rsidP="00D00F27">
            <w:pPr>
              <w:jc w:val="right"/>
              <w:rPr>
                <w:color w:val="000000"/>
                <w:sz w:val="22"/>
                <w:szCs w:val="22"/>
              </w:rPr>
            </w:pPr>
            <w:r w:rsidRPr="00552E90">
              <w:rPr>
                <w:color w:val="000000"/>
                <w:sz w:val="22"/>
                <w:szCs w:val="22"/>
              </w:rPr>
              <w:t>0,037</w:t>
            </w:r>
          </w:p>
        </w:tc>
        <w:tc>
          <w:tcPr>
            <w:tcW w:w="1705" w:type="dxa"/>
            <w:tcBorders>
              <w:top w:val="nil"/>
              <w:left w:val="nil"/>
              <w:bottom w:val="nil"/>
              <w:right w:val="nil"/>
            </w:tcBorders>
            <w:shd w:val="clear" w:color="auto" w:fill="auto"/>
            <w:noWrap/>
            <w:vAlign w:val="bottom"/>
            <w:hideMark/>
          </w:tcPr>
          <w:p w14:paraId="54B5CFC1" w14:textId="31666E38" w:rsidR="00D00F27" w:rsidRPr="00552E90" w:rsidRDefault="00D00F27" w:rsidP="00D00F27">
            <w:pPr>
              <w:jc w:val="right"/>
              <w:rPr>
                <w:color w:val="000000"/>
                <w:sz w:val="22"/>
                <w:szCs w:val="22"/>
              </w:rPr>
            </w:pPr>
            <w:r w:rsidRPr="00552E90">
              <w:rPr>
                <w:color w:val="000000"/>
                <w:sz w:val="22"/>
                <w:szCs w:val="22"/>
              </w:rPr>
              <w:t>-4,851</w:t>
            </w:r>
          </w:p>
        </w:tc>
        <w:tc>
          <w:tcPr>
            <w:tcW w:w="1705" w:type="dxa"/>
            <w:tcBorders>
              <w:top w:val="nil"/>
              <w:left w:val="nil"/>
              <w:bottom w:val="nil"/>
              <w:right w:val="nil"/>
            </w:tcBorders>
            <w:shd w:val="clear" w:color="auto" w:fill="auto"/>
            <w:noWrap/>
            <w:vAlign w:val="bottom"/>
            <w:hideMark/>
          </w:tcPr>
          <w:p w14:paraId="5DF00850" w14:textId="147277D3" w:rsidR="00D00F27" w:rsidRPr="0040484C" w:rsidRDefault="00D00F27" w:rsidP="00D00F27">
            <w:pPr>
              <w:jc w:val="right"/>
              <w:rPr>
                <w:color w:val="000000"/>
                <w:sz w:val="22"/>
                <w:szCs w:val="22"/>
                <w:lang w:val="es-ES"/>
              </w:rPr>
            </w:pPr>
            <w:r>
              <w:rPr>
                <w:color w:val="000000"/>
                <w:sz w:val="22"/>
                <w:szCs w:val="22"/>
                <w:lang w:val="es-ES"/>
              </w:rPr>
              <w:t>0,001</w:t>
            </w:r>
          </w:p>
        </w:tc>
      </w:tr>
      <w:tr w:rsidR="00D00F27" w:rsidRPr="00552E90" w14:paraId="46005EA8" w14:textId="77777777" w:rsidTr="000A6E41">
        <w:trPr>
          <w:trHeight w:val="332"/>
        </w:trPr>
        <w:tc>
          <w:tcPr>
            <w:tcW w:w="2517" w:type="dxa"/>
            <w:tcBorders>
              <w:top w:val="nil"/>
              <w:left w:val="nil"/>
              <w:bottom w:val="double" w:sz="4" w:space="0" w:color="auto"/>
              <w:right w:val="nil"/>
            </w:tcBorders>
            <w:shd w:val="clear" w:color="auto" w:fill="auto"/>
            <w:noWrap/>
            <w:vAlign w:val="bottom"/>
            <w:hideMark/>
          </w:tcPr>
          <w:p w14:paraId="1279F40A" w14:textId="733FC29E" w:rsidR="00D00F27" w:rsidRPr="00552E90" w:rsidRDefault="00D00F27" w:rsidP="00D00F27">
            <w:pPr>
              <w:rPr>
                <w:i/>
                <w:iCs/>
                <w:color w:val="000000"/>
                <w:sz w:val="22"/>
                <w:szCs w:val="22"/>
                <w:lang w:val="es-ES"/>
              </w:rPr>
            </w:pPr>
            <w:proofErr w:type="spellStart"/>
            <w:r>
              <w:rPr>
                <w:i/>
                <w:iCs/>
                <w:color w:val="000000"/>
                <w:sz w:val="22"/>
                <w:szCs w:val="22"/>
                <w:lang w:val="es-ES"/>
              </w:rPr>
              <w:t>partner</w:t>
            </w:r>
            <w:proofErr w:type="spellEnd"/>
          </w:p>
        </w:tc>
        <w:tc>
          <w:tcPr>
            <w:tcW w:w="1705" w:type="dxa"/>
            <w:tcBorders>
              <w:top w:val="nil"/>
              <w:left w:val="nil"/>
              <w:bottom w:val="double" w:sz="4" w:space="0" w:color="auto"/>
              <w:right w:val="nil"/>
            </w:tcBorders>
            <w:shd w:val="clear" w:color="auto" w:fill="auto"/>
            <w:noWrap/>
            <w:vAlign w:val="bottom"/>
            <w:hideMark/>
          </w:tcPr>
          <w:p w14:paraId="6B93F1EE" w14:textId="79859704" w:rsidR="00D00F27" w:rsidRPr="00552E90" w:rsidRDefault="00D00F27" w:rsidP="00D00F27">
            <w:pPr>
              <w:jc w:val="right"/>
              <w:rPr>
                <w:color w:val="000000"/>
                <w:sz w:val="22"/>
                <w:szCs w:val="22"/>
              </w:rPr>
            </w:pPr>
            <w:r w:rsidRPr="00552E90">
              <w:rPr>
                <w:color w:val="000000"/>
                <w:sz w:val="22"/>
                <w:szCs w:val="22"/>
              </w:rPr>
              <w:t>0,027</w:t>
            </w:r>
          </w:p>
        </w:tc>
        <w:tc>
          <w:tcPr>
            <w:tcW w:w="1705" w:type="dxa"/>
            <w:tcBorders>
              <w:top w:val="nil"/>
              <w:left w:val="nil"/>
              <w:bottom w:val="double" w:sz="4" w:space="0" w:color="auto"/>
              <w:right w:val="nil"/>
            </w:tcBorders>
            <w:shd w:val="clear" w:color="auto" w:fill="auto"/>
            <w:noWrap/>
            <w:vAlign w:val="bottom"/>
            <w:hideMark/>
          </w:tcPr>
          <w:p w14:paraId="25B5308C" w14:textId="1EF4FFD7" w:rsidR="00D00F27" w:rsidRPr="00552E90" w:rsidRDefault="00D00F27" w:rsidP="00D00F27">
            <w:pPr>
              <w:jc w:val="right"/>
              <w:rPr>
                <w:color w:val="000000"/>
                <w:sz w:val="22"/>
                <w:szCs w:val="22"/>
              </w:rPr>
            </w:pPr>
            <w:r w:rsidRPr="00552E90">
              <w:rPr>
                <w:color w:val="000000"/>
                <w:sz w:val="22"/>
                <w:szCs w:val="22"/>
              </w:rPr>
              <w:t>0,028</w:t>
            </w:r>
          </w:p>
        </w:tc>
        <w:tc>
          <w:tcPr>
            <w:tcW w:w="1705" w:type="dxa"/>
            <w:tcBorders>
              <w:top w:val="nil"/>
              <w:left w:val="nil"/>
              <w:bottom w:val="double" w:sz="4" w:space="0" w:color="auto"/>
              <w:right w:val="nil"/>
            </w:tcBorders>
            <w:shd w:val="clear" w:color="auto" w:fill="auto"/>
            <w:noWrap/>
            <w:vAlign w:val="bottom"/>
            <w:hideMark/>
          </w:tcPr>
          <w:p w14:paraId="331432B7" w14:textId="2F1B0F63" w:rsidR="00D00F27" w:rsidRPr="00552E90" w:rsidRDefault="00D00F27" w:rsidP="00D00F27">
            <w:pPr>
              <w:jc w:val="right"/>
              <w:rPr>
                <w:color w:val="000000"/>
                <w:sz w:val="22"/>
                <w:szCs w:val="22"/>
              </w:rPr>
            </w:pPr>
            <w:r w:rsidRPr="00552E90">
              <w:rPr>
                <w:color w:val="000000"/>
                <w:sz w:val="22"/>
                <w:szCs w:val="22"/>
              </w:rPr>
              <w:t>0,969</w:t>
            </w:r>
          </w:p>
        </w:tc>
        <w:tc>
          <w:tcPr>
            <w:tcW w:w="1705" w:type="dxa"/>
            <w:tcBorders>
              <w:top w:val="nil"/>
              <w:left w:val="nil"/>
              <w:bottom w:val="double" w:sz="4" w:space="0" w:color="auto"/>
              <w:right w:val="nil"/>
            </w:tcBorders>
            <w:shd w:val="clear" w:color="auto" w:fill="auto"/>
            <w:noWrap/>
            <w:vAlign w:val="bottom"/>
            <w:hideMark/>
          </w:tcPr>
          <w:p w14:paraId="28EA77BD" w14:textId="7ACAB242" w:rsidR="00D00F27" w:rsidRPr="00552E90" w:rsidRDefault="00D00F27" w:rsidP="00D00F27">
            <w:pPr>
              <w:jc w:val="right"/>
              <w:rPr>
                <w:color w:val="000000"/>
                <w:sz w:val="22"/>
                <w:szCs w:val="22"/>
              </w:rPr>
            </w:pPr>
            <w:r w:rsidRPr="00552E90">
              <w:rPr>
                <w:color w:val="000000"/>
                <w:sz w:val="22"/>
                <w:szCs w:val="22"/>
              </w:rPr>
              <w:t>0,332</w:t>
            </w:r>
          </w:p>
        </w:tc>
      </w:tr>
    </w:tbl>
    <w:p w14:paraId="76ABF06B" w14:textId="639291DE" w:rsidR="00404686" w:rsidRPr="00267ADE" w:rsidRDefault="00404686" w:rsidP="00404686">
      <w:pPr>
        <w:spacing w:line="360" w:lineRule="auto"/>
        <w:rPr>
          <w:i/>
          <w:iCs/>
        </w:rPr>
      </w:pPr>
      <w:r>
        <w:rPr>
          <w:i/>
          <w:iCs/>
        </w:rPr>
        <w:t xml:space="preserve">N = </w:t>
      </w:r>
      <w:r w:rsidRPr="00267ADE">
        <w:t>1963</w:t>
      </w:r>
      <w:r>
        <w:rPr>
          <w:i/>
          <w:iCs/>
        </w:rPr>
        <w:tab/>
        <w:t>R</w:t>
      </w:r>
      <w:r>
        <w:rPr>
          <w:i/>
          <w:iCs/>
          <w:vertAlign w:val="superscript"/>
        </w:rPr>
        <w:t>2</w:t>
      </w:r>
      <w:r>
        <w:rPr>
          <w:i/>
          <w:iCs/>
        </w:rPr>
        <w:t xml:space="preserve">= </w:t>
      </w:r>
      <w:r w:rsidRPr="00887BAA">
        <w:t>0.022</w:t>
      </w:r>
      <w:r>
        <w:rPr>
          <w:i/>
          <w:iCs/>
        </w:rPr>
        <w:tab/>
        <w:t>Multiple R</w:t>
      </w:r>
      <w:r>
        <w:rPr>
          <w:i/>
          <w:iCs/>
          <w:vertAlign w:val="superscript"/>
        </w:rPr>
        <w:t>2</w:t>
      </w:r>
      <w:r>
        <w:rPr>
          <w:i/>
          <w:iCs/>
        </w:rPr>
        <w:t>=</w:t>
      </w:r>
      <w:r w:rsidR="00887BAA">
        <w:rPr>
          <w:i/>
          <w:iCs/>
        </w:rPr>
        <w:t xml:space="preserve"> </w:t>
      </w:r>
      <w:r w:rsidRPr="00887BAA">
        <w:t>0.148</w:t>
      </w:r>
    </w:p>
    <w:p w14:paraId="365597B1" w14:textId="77777777" w:rsidR="00404686" w:rsidRPr="00045DB2" w:rsidRDefault="00404686" w:rsidP="00267ADE">
      <w:pPr>
        <w:spacing w:line="360" w:lineRule="auto"/>
        <w:rPr>
          <w:b/>
          <w:bCs/>
          <w:i/>
          <w:iCs/>
        </w:rPr>
      </w:pPr>
    </w:p>
    <w:p w14:paraId="2A5FC6DC" w14:textId="145FE528" w:rsidR="00084E97" w:rsidRDefault="000138B7" w:rsidP="00CF1860">
      <w:pPr>
        <w:spacing w:line="360" w:lineRule="auto"/>
      </w:pPr>
      <w:r>
        <w:t xml:space="preserve">The observed results for the two </w:t>
      </w:r>
      <w:r w:rsidR="009A76DF">
        <w:t>variables</w:t>
      </w:r>
      <w:r>
        <w:t xml:space="preserve"> with a P-value below 0.05 are rather interesting. Similarly, to the previous results, gender seems to play a considerable role in this factor, compared to </w:t>
      </w:r>
      <w:r w:rsidR="007F19AF">
        <w:t>men</w:t>
      </w:r>
      <w:r>
        <w:t xml:space="preserve">, </w:t>
      </w:r>
      <w:r w:rsidR="007F19AF">
        <w:t>women</w:t>
      </w:r>
      <w:r>
        <w:t xml:space="preserve"> tend to hold profitable companies’ stocks more often. </w:t>
      </w:r>
      <w:r w:rsidR="009A76DF">
        <w:t xml:space="preserve">Contrary to size and value, home ownership </w:t>
      </w:r>
      <w:r w:rsidR="00B36C98">
        <w:t>is significant</w:t>
      </w:r>
      <w:r w:rsidR="009A76DF">
        <w:t xml:space="preserve">. Homeowners are </w:t>
      </w:r>
      <w:r w:rsidR="00CF588F">
        <w:t>less</w:t>
      </w:r>
      <w:r w:rsidR="009A76DF">
        <w:t xml:space="preserve"> likely to invest in profitable companies compared to </w:t>
      </w:r>
      <w:r w:rsidR="000832A0">
        <w:t>those individuals</w:t>
      </w:r>
      <w:r w:rsidR="009A76DF">
        <w:t xml:space="preserve"> that rent their home.</w:t>
      </w:r>
      <w:r w:rsidR="007F19AF">
        <w:t xml:space="preserve"> Therefore, these results situate </w:t>
      </w:r>
      <w:r w:rsidR="00CF588F">
        <w:t xml:space="preserve">renters and </w:t>
      </w:r>
      <w:r w:rsidR="007F19AF">
        <w:t xml:space="preserve">women along the long leg of the </w:t>
      </w:r>
      <w:proofErr w:type="spellStart"/>
      <w:r w:rsidR="007F19AF">
        <w:t>Fama</w:t>
      </w:r>
      <w:proofErr w:type="spellEnd"/>
      <w:r w:rsidR="007F19AF">
        <w:t>-French five factor model</w:t>
      </w:r>
      <w:r w:rsidR="00CF588F">
        <w:t>.</w:t>
      </w:r>
    </w:p>
    <w:p w14:paraId="2CD54F9B" w14:textId="77777777" w:rsidR="00084E97" w:rsidRPr="00084E97" w:rsidRDefault="00084E97" w:rsidP="00CF1860">
      <w:pPr>
        <w:spacing w:line="360" w:lineRule="auto"/>
      </w:pPr>
    </w:p>
    <w:p w14:paraId="5F5CDE85" w14:textId="77777777" w:rsidR="000A6E41" w:rsidRDefault="000A6E41" w:rsidP="00CF1860">
      <w:pPr>
        <w:spacing w:line="360" w:lineRule="auto"/>
        <w:rPr>
          <w:b/>
          <w:bCs/>
        </w:rPr>
      </w:pPr>
    </w:p>
    <w:p w14:paraId="67647037" w14:textId="77777777" w:rsidR="000A6E41" w:rsidRDefault="000A6E41" w:rsidP="00CF1860">
      <w:pPr>
        <w:spacing w:line="360" w:lineRule="auto"/>
        <w:rPr>
          <w:b/>
          <w:bCs/>
        </w:rPr>
      </w:pPr>
    </w:p>
    <w:p w14:paraId="7BF8E4D9" w14:textId="77777777" w:rsidR="000A6E41" w:rsidRDefault="000A6E41" w:rsidP="00CF1860">
      <w:pPr>
        <w:spacing w:line="360" w:lineRule="auto"/>
        <w:rPr>
          <w:b/>
          <w:bCs/>
        </w:rPr>
      </w:pPr>
    </w:p>
    <w:p w14:paraId="6B2ABD0A" w14:textId="77777777" w:rsidR="000A6E41" w:rsidRDefault="000A6E41" w:rsidP="00CF1860">
      <w:pPr>
        <w:spacing w:line="360" w:lineRule="auto"/>
        <w:rPr>
          <w:b/>
          <w:bCs/>
        </w:rPr>
      </w:pPr>
    </w:p>
    <w:p w14:paraId="68A48AC6" w14:textId="20F1AA83" w:rsidR="00045DB2" w:rsidRPr="000F702A" w:rsidRDefault="000A6E41" w:rsidP="000F702A">
      <w:pPr>
        <w:pStyle w:val="Heading2"/>
        <w:rPr>
          <w:rFonts w:ascii="Times New Roman" w:hAnsi="Times New Roman" w:cs="Times New Roman"/>
          <w:b/>
          <w:bCs/>
          <w:color w:val="000000" w:themeColor="text1"/>
          <w:sz w:val="24"/>
          <w:szCs w:val="24"/>
        </w:rPr>
      </w:pPr>
      <w:bookmarkStart w:id="30" w:name="_Toc102301213"/>
      <w:bookmarkStart w:id="31" w:name="_Toc103963056"/>
      <w:r w:rsidRPr="000F702A">
        <w:rPr>
          <w:rFonts w:ascii="Times New Roman" w:hAnsi="Times New Roman" w:cs="Times New Roman"/>
          <w:b/>
          <w:bCs/>
          <w:color w:val="000000" w:themeColor="text1"/>
          <w:sz w:val="24"/>
          <w:szCs w:val="24"/>
        </w:rPr>
        <w:lastRenderedPageBreak/>
        <w:t>4</w:t>
      </w:r>
      <w:r w:rsidR="00045DB2" w:rsidRPr="000F702A">
        <w:rPr>
          <w:rFonts w:ascii="Times New Roman" w:hAnsi="Times New Roman" w:cs="Times New Roman"/>
          <w:b/>
          <w:bCs/>
          <w:color w:val="000000" w:themeColor="text1"/>
          <w:sz w:val="24"/>
          <w:szCs w:val="24"/>
        </w:rPr>
        <w:t>.4 CMA Factor</w:t>
      </w:r>
      <w:bookmarkEnd w:id="30"/>
      <w:bookmarkEnd w:id="31"/>
    </w:p>
    <w:p w14:paraId="573F2477" w14:textId="63428528" w:rsidR="00267ADE" w:rsidRDefault="00267ADE" w:rsidP="00CF1860">
      <w:pPr>
        <w:spacing w:line="360" w:lineRule="auto"/>
        <w:rPr>
          <w:b/>
          <w:bCs/>
        </w:rPr>
      </w:pPr>
    </w:p>
    <w:p w14:paraId="09FB48EB" w14:textId="5AAF65CE" w:rsidR="002A1247" w:rsidRPr="002A1247" w:rsidRDefault="002A1247" w:rsidP="00CF1860">
      <w:pPr>
        <w:spacing w:line="360" w:lineRule="auto"/>
      </w:pPr>
      <w:r>
        <w:rPr>
          <w:b/>
          <w:bCs/>
        </w:rPr>
        <w:tab/>
      </w:r>
      <w:r>
        <w:t xml:space="preserve">This subchapter covers the last factor of the model, it stands for conservative minus aggressive and describes the investing behaviors of a firm. If a firm does not invest much that makes it a conservative firm and it will lay on the </w:t>
      </w:r>
      <w:proofErr w:type="spellStart"/>
      <w:r>
        <w:t>Fama</w:t>
      </w:r>
      <w:proofErr w:type="spellEnd"/>
      <w:r>
        <w:t>-French long leg, and vice versa.</w:t>
      </w:r>
    </w:p>
    <w:p w14:paraId="0A96022C" w14:textId="785A72BF" w:rsidR="0012720E" w:rsidRPr="00084E97" w:rsidRDefault="00084E97" w:rsidP="00267ADE">
      <w:pPr>
        <w:spacing w:line="360" w:lineRule="auto"/>
      </w:pPr>
      <w:r>
        <w:tab/>
      </w:r>
    </w:p>
    <w:p w14:paraId="0DF96A67" w14:textId="5AE564E4" w:rsidR="00267ADE" w:rsidRDefault="00267ADE" w:rsidP="00267ADE">
      <w:pPr>
        <w:spacing w:line="360" w:lineRule="auto"/>
        <w:rPr>
          <w:b/>
          <w:bCs/>
          <w:i/>
          <w:iCs/>
        </w:rPr>
      </w:pPr>
      <w:r>
        <w:rPr>
          <w:b/>
          <w:bCs/>
          <w:i/>
          <w:iCs/>
        </w:rPr>
        <w:t>Regression Output</w:t>
      </w:r>
    </w:p>
    <w:p w14:paraId="340B2B61" w14:textId="68B7E76F" w:rsidR="000E0F91" w:rsidRPr="005B1A68" w:rsidRDefault="005B1A68" w:rsidP="000E0F91">
      <w:pPr>
        <w:spacing w:line="360" w:lineRule="auto"/>
        <w:rPr>
          <w:b/>
          <w:bCs/>
          <w:sz w:val="20"/>
          <w:szCs w:val="20"/>
        </w:rPr>
      </w:pPr>
      <m:oMathPara>
        <m:oMathParaPr>
          <m:jc m:val="left"/>
        </m:oMathParaPr>
        <m:oMath>
          <m:r>
            <w:rPr>
              <w:rFonts w:ascii="Cambria Math" w:eastAsiaTheme="minorHAnsi" w:hAnsi="Cambria Math"/>
              <w:sz w:val="20"/>
              <w:szCs w:val="20"/>
              <w:lang w:eastAsia="en-US"/>
            </w:rPr>
            <m:t>famafrenc</m:t>
          </m:r>
          <m:sSub>
            <m:sSubPr>
              <m:ctrlPr>
                <w:rPr>
                  <w:rFonts w:ascii="Cambria Math" w:eastAsiaTheme="minorHAnsi" w:hAnsi="Cambria Math"/>
                  <w:i/>
                  <w:sz w:val="20"/>
                  <w:szCs w:val="20"/>
                  <w:lang w:eastAsia="en-US"/>
                </w:rPr>
              </m:ctrlPr>
            </m:sSubPr>
            <m:e>
              <m:r>
                <w:rPr>
                  <w:rFonts w:ascii="Cambria Math" w:eastAsiaTheme="minorHAnsi" w:hAnsi="Cambria Math"/>
                  <w:sz w:val="20"/>
                  <w:szCs w:val="20"/>
                  <w:lang w:eastAsia="en-US"/>
                </w:rPr>
                <m:t>h</m:t>
              </m:r>
            </m:e>
            <m:sub>
              <m:r>
                <w:rPr>
                  <w:rFonts w:ascii="Cambria Math" w:eastAsiaTheme="minorHAnsi" w:hAnsi="Cambria Math"/>
                  <w:sz w:val="20"/>
                  <w:szCs w:val="20"/>
                  <w:lang w:eastAsia="en-US"/>
                </w:rPr>
                <m:t>investment pattern</m:t>
              </m:r>
            </m:sub>
          </m:sSub>
          <m:r>
            <w:rPr>
              <w:rFonts w:ascii="Cambria Math" w:hAnsi="Cambria Math"/>
              <w:sz w:val="20"/>
              <w:szCs w:val="20"/>
            </w:rPr>
            <m:t>=α+</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wealth</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wealth</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age</m:t>
              </m:r>
            </m:sub>
          </m:sSub>
          <m:d>
            <m:dPr>
              <m:ctrlPr>
                <w:rPr>
                  <w:rFonts w:ascii="Cambria Math" w:hAnsi="Cambria Math"/>
                  <w:i/>
                  <w:sz w:val="20"/>
                  <w:szCs w:val="20"/>
                </w:rPr>
              </m:ctrlPr>
            </m:dPr>
            <m:e>
              <m:r>
                <w:rPr>
                  <w:rFonts w:ascii="Cambria Math" w:hAnsi="Cambria Math"/>
                  <w:sz w:val="20"/>
                  <w:szCs w:val="20"/>
                </w:rPr>
                <m:t>age</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sz w:val="20"/>
                          <w:szCs w:val="20"/>
                        </w:rPr>
                      </m:ctrlPr>
                    </m:dPr>
                    <m:e>
                      <m:r>
                        <m:rPr>
                          <m:sty m:val="p"/>
                        </m:rPr>
                        <w:rPr>
                          <w:rFonts w:ascii="Cambria Math" w:hAnsi="Cambria Math"/>
                          <w:sz w:val="20"/>
                          <w:szCs w:val="20"/>
                        </w:rPr>
                        <m:t>income</m:t>
                      </m:r>
                    </m:e>
                  </m:d>
                </m:e>
              </m:func>
            </m:sub>
          </m:sSub>
          <m:r>
            <w:rPr>
              <w:rFonts w:ascii="Cambria Math" w:hAnsi="Cambria Math"/>
              <w:sz w:val="20"/>
              <w:szCs w:val="20"/>
            </w:rPr>
            <m:t>log</m:t>
          </m:r>
          <m:d>
            <m:dPr>
              <m:ctrlPr>
                <w:rPr>
                  <w:rFonts w:ascii="Cambria Math" w:hAnsi="Cambria Math"/>
                  <w:i/>
                  <w:sz w:val="20"/>
                  <w:szCs w:val="20"/>
                </w:rPr>
              </m:ctrlPr>
            </m:dPr>
            <m:e>
              <m:r>
                <w:rPr>
                  <w:rFonts w:ascii="Cambria Math" w:hAnsi="Cambria Math"/>
                  <w:sz w:val="20"/>
                  <w:szCs w:val="20"/>
                </w:rPr>
                <m:t>income</m:t>
              </m:r>
            </m:e>
          </m:d>
          <m:r>
            <m:rPr>
              <m:sty m:val="b"/>
            </m:rPr>
            <w:rPr>
              <w:rFonts w:asci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gender</m:t>
              </m:r>
            </m:sub>
          </m:sSub>
          <m:d>
            <m:dPr>
              <m:ctrlPr>
                <w:rPr>
                  <w:rFonts w:ascii="Cambria Math" w:hAnsi="Cambria Math"/>
                  <w:i/>
                  <w:sz w:val="20"/>
                  <w:szCs w:val="20"/>
                </w:rPr>
              </m:ctrlPr>
            </m:dPr>
            <m:e>
              <m:r>
                <w:rPr>
                  <w:rFonts w:ascii="Cambria Math" w:hAnsi="Cambria Math"/>
                  <w:sz w:val="20"/>
                  <w:szCs w:val="20"/>
                </w:rPr>
                <m:t>gender</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education</m:t>
              </m:r>
            </m:sub>
          </m:sSub>
          <m:d>
            <m:dPr>
              <m:ctrlPr>
                <w:rPr>
                  <w:rFonts w:ascii="Cambria Math" w:hAnsi="Cambria Math"/>
                  <w:i/>
                  <w:sz w:val="20"/>
                  <w:szCs w:val="20"/>
                </w:rPr>
              </m:ctrlPr>
            </m:dPr>
            <m:e>
              <m:r>
                <w:rPr>
                  <w:rFonts w:ascii="Cambria Math" w:hAnsi="Cambria Math"/>
                  <w:sz w:val="20"/>
                  <w:szCs w:val="20"/>
                </w:rPr>
                <m:t>education</m:t>
              </m:r>
            </m:e>
          </m:d>
          <m:r>
            <w:rPr>
              <w:rFonts w:ascii="Cambria Math" w:hAnsi="Cambria Math"/>
              <w:sz w:val="20"/>
              <w:szCs w:val="20"/>
            </w:rPr>
            <m:t>+</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accommodation</m:t>
              </m:r>
            </m:sub>
          </m:sSub>
          <m:r>
            <w:rPr>
              <w:rFonts w:ascii="Cambria Math" w:hAnsi="Cambria Math"/>
              <w:sz w:val="20"/>
              <w:szCs w:val="20"/>
            </w:rPr>
            <m:t>accommodation+</m:t>
          </m:r>
          <m:sSub>
            <m:sSubPr>
              <m:ctrlPr>
                <w:rPr>
                  <w:rFonts w:ascii="Cambria Math" w:eastAsiaTheme="minorHAnsi" w:hAnsi="Cambria Math"/>
                  <w:i/>
                  <w:sz w:val="20"/>
                  <w:szCs w:val="20"/>
                  <w:lang w:eastAsia="en-US"/>
                </w:rPr>
              </m:ctrlPr>
            </m:sSubPr>
            <m:e>
              <m:r>
                <w:rPr>
                  <w:rFonts w:ascii="Cambria Math" w:hAnsi="Cambria Math"/>
                  <w:sz w:val="20"/>
                  <w:szCs w:val="20"/>
                </w:rPr>
                <m:t>β</m:t>
              </m:r>
            </m:e>
            <m:sub>
              <m:r>
                <w:rPr>
                  <w:rFonts w:ascii="Cambria Math" w:hAnsi="Cambria Math"/>
                  <w:sz w:val="20"/>
                  <w:szCs w:val="20"/>
                </w:rPr>
                <m:t>partner</m:t>
              </m:r>
            </m:sub>
          </m:sSub>
          <m:d>
            <m:dPr>
              <m:ctrlPr>
                <w:rPr>
                  <w:rFonts w:ascii="Cambria Math" w:hAnsi="Cambria Math"/>
                  <w:i/>
                  <w:sz w:val="20"/>
                  <w:szCs w:val="20"/>
                </w:rPr>
              </m:ctrlPr>
            </m:dPr>
            <m:e>
              <m:r>
                <w:rPr>
                  <w:rFonts w:ascii="Cambria Math" w:hAnsi="Cambria Math"/>
                  <w:sz w:val="20"/>
                  <w:szCs w:val="20"/>
                </w:rPr>
                <m:t>partner</m:t>
              </m:r>
            </m:e>
          </m:d>
        </m:oMath>
      </m:oMathPara>
    </w:p>
    <w:p w14:paraId="2D5C5419" w14:textId="68C04B07" w:rsidR="000E0F91" w:rsidRPr="00045DB2" w:rsidRDefault="000E0F91" w:rsidP="00267ADE">
      <w:pPr>
        <w:spacing w:line="360" w:lineRule="auto"/>
        <w:rPr>
          <w:b/>
          <w:bCs/>
          <w:i/>
          <w:iCs/>
        </w:rPr>
      </w:pPr>
    </w:p>
    <w:tbl>
      <w:tblPr>
        <w:tblW w:w="9446" w:type="dxa"/>
        <w:tblBorders>
          <w:top w:val="double" w:sz="4" w:space="0" w:color="auto"/>
          <w:bottom w:val="double" w:sz="4" w:space="0" w:color="auto"/>
        </w:tblBorders>
        <w:tblLook w:val="04A0" w:firstRow="1" w:lastRow="0" w:firstColumn="1" w:lastColumn="0" w:noHBand="0" w:noVBand="1"/>
      </w:tblPr>
      <w:tblGrid>
        <w:gridCol w:w="2546"/>
        <w:gridCol w:w="1725"/>
        <w:gridCol w:w="1725"/>
        <w:gridCol w:w="1725"/>
        <w:gridCol w:w="1725"/>
      </w:tblGrid>
      <w:tr w:rsidR="00904BA2" w14:paraId="73F0296A" w14:textId="77777777" w:rsidTr="004A3991">
        <w:trPr>
          <w:trHeight w:val="363"/>
        </w:trPr>
        <w:tc>
          <w:tcPr>
            <w:tcW w:w="2546" w:type="dxa"/>
            <w:tcBorders>
              <w:top w:val="double" w:sz="4" w:space="0" w:color="auto"/>
              <w:bottom w:val="double" w:sz="4" w:space="0" w:color="auto"/>
            </w:tcBorders>
            <w:shd w:val="clear" w:color="auto" w:fill="auto"/>
            <w:noWrap/>
            <w:vAlign w:val="bottom"/>
            <w:hideMark/>
          </w:tcPr>
          <w:p w14:paraId="0169CF9C" w14:textId="77777777" w:rsidR="00904BA2" w:rsidRPr="00904BA2" w:rsidRDefault="00904BA2"/>
        </w:tc>
        <w:tc>
          <w:tcPr>
            <w:tcW w:w="1725" w:type="dxa"/>
            <w:tcBorders>
              <w:top w:val="double" w:sz="4" w:space="0" w:color="auto"/>
              <w:bottom w:val="double" w:sz="4" w:space="0" w:color="auto"/>
            </w:tcBorders>
            <w:shd w:val="clear" w:color="auto" w:fill="auto"/>
            <w:noWrap/>
            <w:vAlign w:val="center"/>
            <w:hideMark/>
          </w:tcPr>
          <w:p w14:paraId="534E5263" w14:textId="77777777" w:rsidR="00904BA2" w:rsidRPr="00904BA2" w:rsidRDefault="00904BA2" w:rsidP="004A3991">
            <w:pPr>
              <w:jc w:val="center"/>
              <w:rPr>
                <w:i/>
                <w:iCs/>
                <w:color w:val="000000"/>
                <w:sz w:val="22"/>
                <w:szCs w:val="22"/>
              </w:rPr>
            </w:pPr>
            <w:r w:rsidRPr="00904BA2">
              <w:rPr>
                <w:i/>
                <w:iCs/>
                <w:color w:val="000000"/>
                <w:sz w:val="22"/>
                <w:szCs w:val="22"/>
              </w:rPr>
              <w:t>Coefficients</w:t>
            </w:r>
          </w:p>
        </w:tc>
        <w:tc>
          <w:tcPr>
            <w:tcW w:w="1725" w:type="dxa"/>
            <w:tcBorders>
              <w:top w:val="double" w:sz="4" w:space="0" w:color="auto"/>
              <w:bottom w:val="double" w:sz="4" w:space="0" w:color="auto"/>
            </w:tcBorders>
            <w:shd w:val="clear" w:color="auto" w:fill="auto"/>
            <w:noWrap/>
            <w:vAlign w:val="center"/>
            <w:hideMark/>
          </w:tcPr>
          <w:p w14:paraId="7EBB7B13" w14:textId="77777777" w:rsidR="00904BA2" w:rsidRPr="00904BA2" w:rsidRDefault="00904BA2" w:rsidP="004A3991">
            <w:pPr>
              <w:jc w:val="center"/>
              <w:rPr>
                <w:i/>
                <w:iCs/>
                <w:color w:val="000000"/>
                <w:sz w:val="22"/>
                <w:szCs w:val="22"/>
              </w:rPr>
            </w:pPr>
            <w:r w:rsidRPr="00904BA2">
              <w:rPr>
                <w:i/>
                <w:iCs/>
                <w:color w:val="000000"/>
                <w:sz w:val="22"/>
                <w:szCs w:val="22"/>
              </w:rPr>
              <w:t>Standard Error</w:t>
            </w:r>
          </w:p>
        </w:tc>
        <w:tc>
          <w:tcPr>
            <w:tcW w:w="1725" w:type="dxa"/>
            <w:tcBorders>
              <w:top w:val="double" w:sz="4" w:space="0" w:color="auto"/>
              <w:bottom w:val="double" w:sz="4" w:space="0" w:color="auto"/>
            </w:tcBorders>
            <w:shd w:val="clear" w:color="auto" w:fill="auto"/>
            <w:noWrap/>
            <w:vAlign w:val="center"/>
            <w:hideMark/>
          </w:tcPr>
          <w:p w14:paraId="796D8EC5" w14:textId="77777777" w:rsidR="00904BA2" w:rsidRPr="00904BA2" w:rsidRDefault="00904BA2" w:rsidP="004A3991">
            <w:pPr>
              <w:jc w:val="center"/>
              <w:rPr>
                <w:i/>
                <w:iCs/>
                <w:color w:val="000000"/>
                <w:sz w:val="22"/>
                <w:szCs w:val="22"/>
              </w:rPr>
            </w:pPr>
            <w:r w:rsidRPr="00904BA2">
              <w:rPr>
                <w:i/>
                <w:iCs/>
                <w:color w:val="000000"/>
                <w:sz w:val="22"/>
                <w:szCs w:val="22"/>
              </w:rPr>
              <w:t>t Stat</w:t>
            </w:r>
          </w:p>
        </w:tc>
        <w:tc>
          <w:tcPr>
            <w:tcW w:w="1725" w:type="dxa"/>
            <w:tcBorders>
              <w:top w:val="double" w:sz="4" w:space="0" w:color="auto"/>
              <w:bottom w:val="double" w:sz="4" w:space="0" w:color="auto"/>
            </w:tcBorders>
            <w:shd w:val="clear" w:color="auto" w:fill="auto"/>
            <w:noWrap/>
            <w:vAlign w:val="center"/>
            <w:hideMark/>
          </w:tcPr>
          <w:p w14:paraId="7B0B19F8" w14:textId="77777777" w:rsidR="00904BA2" w:rsidRPr="00904BA2" w:rsidRDefault="00904BA2" w:rsidP="004A3991">
            <w:pPr>
              <w:jc w:val="center"/>
              <w:rPr>
                <w:i/>
                <w:iCs/>
                <w:color w:val="000000"/>
                <w:sz w:val="22"/>
                <w:szCs w:val="22"/>
              </w:rPr>
            </w:pPr>
            <w:r w:rsidRPr="00904BA2">
              <w:rPr>
                <w:i/>
                <w:iCs/>
                <w:color w:val="000000"/>
                <w:sz w:val="22"/>
                <w:szCs w:val="22"/>
              </w:rPr>
              <w:t>P-value</w:t>
            </w:r>
          </w:p>
        </w:tc>
      </w:tr>
      <w:tr w:rsidR="00904BA2" w14:paraId="0F8EE3D9" w14:textId="77777777" w:rsidTr="00887BAA">
        <w:trPr>
          <w:trHeight w:val="363"/>
        </w:trPr>
        <w:tc>
          <w:tcPr>
            <w:tcW w:w="2546" w:type="dxa"/>
            <w:tcBorders>
              <w:top w:val="double" w:sz="4" w:space="0" w:color="auto"/>
            </w:tcBorders>
            <w:shd w:val="clear" w:color="auto" w:fill="auto"/>
            <w:noWrap/>
            <w:vAlign w:val="bottom"/>
            <w:hideMark/>
          </w:tcPr>
          <w:p w14:paraId="5F71BE1E" w14:textId="77777777" w:rsidR="00904BA2" w:rsidRPr="00904BA2" w:rsidRDefault="00904BA2">
            <w:pPr>
              <w:rPr>
                <w:i/>
                <w:iCs/>
                <w:color w:val="000000"/>
                <w:sz w:val="22"/>
                <w:szCs w:val="22"/>
              </w:rPr>
            </w:pPr>
            <w:r w:rsidRPr="00904BA2">
              <w:rPr>
                <w:i/>
                <w:iCs/>
                <w:color w:val="000000"/>
                <w:sz w:val="22"/>
                <w:szCs w:val="22"/>
              </w:rPr>
              <w:t>Intercept</w:t>
            </w:r>
          </w:p>
        </w:tc>
        <w:tc>
          <w:tcPr>
            <w:tcW w:w="1725" w:type="dxa"/>
            <w:tcBorders>
              <w:top w:val="double" w:sz="4" w:space="0" w:color="auto"/>
            </w:tcBorders>
            <w:shd w:val="clear" w:color="auto" w:fill="auto"/>
            <w:noWrap/>
            <w:vAlign w:val="bottom"/>
            <w:hideMark/>
          </w:tcPr>
          <w:p w14:paraId="2997736B" w14:textId="0818A9FE" w:rsidR="00904BA2" w:rsidRPr="00904BA2" w:rsidRDefault="00904BA2">
            <w:pPr>
              <w:jc w:val="right"/>
              <w:rPr>
                <w:color w:val="000000"/>
                <w:sz w:val="22"/>
                <w:szCs w:val="22"/>
              </w:rPr>
            </w:pPr>
            <w:r w:rsidRPr="00904BA2">
              <w:rPr>
                <w:color w:val="000000"/>
                <w:sz w:val="22"/>
                <w:szCs w:val="22"/>
              </w:rPr>
              <w:t>0,037</w:t>
            </w:r>
          </w:p>
        </w:tc>
        <w:tc>
          <w:tcPr>
            <w:tcW w:w="1725" w:type="dxa"/>
            <w:tcBorders>
              <w:top w:val="double" w:sz="4" w:space="0" w:color="auto"/>
            </w:tcBorders>
            <w:shd w:val="clear" w:color="auto" w:fill="auto"/>
            <w:noWrap/>
            <w:vAlign w:val="bottom"/>
            <w:hideMark/>
          </w:tcPr>
          <w:p w14:paraId="3233A6A4" w14:textId="3C5C408C" w:rsidR="00904BA2" w:rsidRPr="00904BA2" w:rsidRDefault="00904BA2">
            <w:pPr>
              <w:jc w:val="right"/>
              <w:rPr>
                <w:color w:val="000000"/>
                <w:sz w:val="22"/>
                <w:szCs w:val="22"/>
              </w:rPr>
            </w:pPr>
            <w:r w:rsidRPr="00904BA2">
              <w:rPr>
                <w:color w:val="000000"/>
                <w:sz w:val="22"/>
                <w:szCs w:val="22"/>
              </w:rPr>
              <w:t>0,029</w:t>
            </w:r>
          </w:p>
        </w:tc>
        <w:tc>
          <w:tcPr>
            <w:tcW w:w="1725" w:type="dxa"/>
            <w:tcBorders>
              <w:top w:val="double" w:sz="4" w:space="0" w:color="auto"/>
            </w:tcBorders>
            <w:shd w:val="clear" w:color="auto" w:fill="auto"/>
            <w:noWrap/>
            <w:vAlign w:val="bottom"/>
            <w:hideMark/>
          </w:tcPr>
          <w:p w14:paraId="028CA218" w14:textId="722225EA" w:rsidR="00904BA2" w:rsidRPr="00904BA2" w:rsidRDefault="00904BA2">
            <w:pPr>
              <w:jc w:val="right"/>
              <w:rPr>
                <w:color w:val="000000"/>
                <w:sz w:val="22"/>
                <w:szCs w:val="22"/>
              </w:rPr>
            </w:pPr>
            <w:r w:rsidRPr="00904BA2">
              <w:rPr>
                <w:color w:val="000000"/>
                <w:sz w:val="22"/>
                <w:szCs w:val="22"/>
              </w:rPr>
              <w:t>1,266</w:t>
            </w:r>
          </w:p>
        </w:tc>
        <w:tc>
          <w:tcPr>
            <w:tcW w:w="1725" w:type="dxa"/>
            <w:tcBorders>
              <w:top w:val="double" w:sz="4" w:space="0" w:color="auto"/>
            </w:tcBorders>
            <w:shd w:val="clear" w:color="auto" w:fill="auto"/>
            <w:noWrap/>
            <w:vAlign w:val="bottom"/>
            <w:hideMark/>
          </w:tcPr>
          <w:p w14:paraId="68333541" w14:textId="0DE922A0" w:rsidR="00904BA2" w:rsidRPr="00904BA2" w:rsidRDefault="00904BA2">
            <w:pPr>
              <w:jc w:val="right"/>
              <w:rPr>
                <w:color w:val="000000"/>
                <w:sz w:val="22"/>
                <w:szCs w:val="22"/>
              </w:rPr>
            </w:pPr>
            <w:r w:rsidRPr="00904BA2">
              <w:rPr>
                <w:color w:val="000000"/>
                <w:sz w:val="22"/>
                <w:szCs w:val="22"/>
              </w:rPr>
              <w:t>0,205</w:t>
            </w:r>
          </w:p>
        </w:tc>
      </w:tr>
      <w:tr w:rsidR="00D00F27" w14:paraId="1DB6F57C" w14:textId="77777777" w:rsidTr="00887BAA">
        <w:trPr>
          <w:trHeight w:val="363"/>
        </w:trPr>
        <w:tc>
          <w:tcPr>
            <w:tcW w:w="2546" w:type="dxa"/>
            <w:shd w:val="clear" w:color="auto" w:fill="auto"/>
            <w:noWrap/>
            <w:vAlign w:val="bottom"/>
          </w:tcPr>
          <w:p w14:paraId="4BFF0ADE" w14:textId="026347E9" w:rsidR="00D00F27" w:rsidRPr="00904BA2" w:rsidRDefault="00D00F27" w:rsidP="00D00F27">
            <w:pPr>
              <w:rPr>
                <w:i/>
                <w:iCs/>
                <w:color w:val="000000"/>
                <w:sz w:val="22"/>
                <w:szCs w:val="22"/>
              </w:rPr>
            </w:pPr>
            <w:r>
              <w:rPr>
                <w:i/>
                <w:iCs/>
                <w:color w:val="000000"/>
                <w:sz w:val="22"/>
                <w:szCs w:val="22"/>
                <w:lang w:val="es-ES"/>
              </w:rPr>
              <w:t>log(</w:t>
            </w:r>
            <w:proofErr w:type="spellStart"/>
            <w:r>
              <w:rPr>
                <w:i/>
                <w:iCs/>
                <w:color w:val="000000"/>
                <w:sz w:val="22"/>
                <w:szCs w:val="22"/>
                <w:lang w:val="es-ES"/>
              </w:rPr>
              <w:t>weatlh</w:t>
            </w:r>
            <w:proofErr w:type="spellEnd"/>
            <w:r>
              <w:rPr>
                <w:i/>
                <w:iCs/>
                <w:color w:val="000000"/>
                <w:sz w:val="22"/>
                <w:szCs w:val="22"/>
                <w:lang w:val="es-ES"/>
              </w:rPr>
              <w:t>)</w:t>
            </w:r>
          </w:p>
        </w:tc>
        <w:tc>
          <w:tcPr>
            <w:tcW w:w="1725" w:type="dxa"/>
            <w:shd w:val="clear" w:color="auto" w:fill="auto"/>
            <w:noWrap/>
            <w:vAlign w:val="bottom"/>
          </w:tcPr>
          <w:p w14:paraId="1250CF07" w14:textId="35CA5B7C" w:rsidR="00D00F27" w:rsidRPr="00904BA2" w:rsidRDefault="00D00F27" w:rsidP="00D00F27">
            <w:pPr>
              <w:jc w:val="right"/>
              <w:rPr>
                <w:color w:val="000000"/>
                <w:sz w:val="22"/>
                <w:szCs w:val="22"/>
              </w:rPr>
            </w:pPr>
            <w:r w:rsidRPr="00904BA2">
              <w:rPr>
                <w:color w:val="000000"/>
                <w:sz w:val="22"/>
                <w:szCs w:val="22"/>
              </w:rPr>
              <w:t>0,0</w:t>
            </w:r>
            <w:r>
              <w:rPr>
                <w:color w:val="000000"/>
                <w:sz w:val="22"/>
                <w:szCs w:val="22"/>
                <w:lang w:val="es-ES"/>
              </w:rPr>
              <w:t>10</w:t>
            </w:r>
          </w:p>
        </w:tc>
        <w:tc>
          <w:tcPr>
            <w:tcW w:w="1725" w:type="dxa"/>
            <w:shd w:val="clear" w:color="auto" w:fill="auto"/>
            <w:noWrap/>
            <w:vAlign w:val="bottom"/>
          </w:tcPr>
          <w:p w14:paraId="4122F3FE" w14:textId="2F247379" w:rsidR="00D00F27" w:rsidRPr="00904BA2" w:rsidRDefault="00D00F27" w:rsidP="00D00F27">
            <w:pPr>
              <w:jc w:val="right"/>
              <w:rPr>
                <w:color w:val="000000"/>
                <w:sz w:val="22"/>
                <w:szCs w:val="22"/>
              </w:rPr>
            </w:pPr>
            <w:r w:rsidRPr="00904BA2">
              <w:rPr>
                <w:color w:val="000000"/>
                <w:sz w:val="22"/>
                <w:szCs w:val="22"/>
              </w:rPr>
              <w:t>0,003</w:t>
            </w:r>
          </w:p>
        </w:tc>
        <w:tc>
          <w:tcPr>
            <w:tcW w:w="1725" w:type="dxa"/>
            <w:shd w:val="clear" w:color="auto" w:fill="auto"/>
            <w:noWrap/>
            <w:vAlign w:val="bottom"/>
          </w:tcPr>
          <w:p w14:paraId="74F736CE" w14:textId="246EC81E" w:rsidR="00D00F27" w:rsidRPr="00904BA2" w:rsidRDefault="00D00F27" w:rsidP="00D00F27">
            <w:pPr>
              <w:jc w:val="right"/>
              <w:rPr>
                <w:color w:val="000000"/>
                <w:sz w:val="22"/>
                <w:szCs w:val="22"/>
              </w:rPr>
            </w:pPr>
            <w:r w:rsidRPr="00904BA2">
              <w:rPr>
                <w:color w:val="000000"/>
                <w:sz w:val="22"/>
                <w:szCs w:val="22"/>
              </w:rPr>
              <w:t>2,823</w:t>
            </w:r>
          </w:p>
        </w:tc>
        <w:tc>
          <w:tcPr>
            <w:tcW w:w="1725" w:type="dxa"/>
            <w:shd w:val="clear" w:color="auto" w:fill="auto"/>
            <w:noWrap/>
            <w:vAlign w:val="bottom"/>
          </w:tcPr>
          <w:p w14:paraId="4AFE6D61" w14:textId="48FFF499" w:rsidR="00D00F27" w:rsidRPr="00904BA2" w:rsidRDefault="00D00F27" w:rsidP="00D00F27">
            <w:pPr>
              <w:jc w:val="right"/>
              <w:rPr>
                <w:color w:val="000000"/>
                <w:sz w:val="22"/>
                <w:szCs w:val="22"/>
              </w:rPr>
            </w:pPr>
            <w:r w:rsidRPr="00904BA2">
              <w:rPr>
                <w:color w:val="000000"/>
                <w:sz w:val="22"/>
                <w:szCs w:val="22"/>
              </w:rPr>
              <w:t>0,00</w:t>
            </w:r>
            <w:r>
              <w:rPr>
                <w:color w:val="000000"/>
                <w:sz w:val="22"/>
                <w:szCs w:val="22"/>
                <w:lang w:val="es-ES"/>
              </w:rPr>
              <w:t>5</w:t>
            </w:r>
          </w:p>
        </w:tc>
      </w:tr>
      <w:tr w:rsidR="00D00F27" w14:paraId="0BDCBF55" w14:textId="77777777" w:rsidTr="00887BAA">
        <w:trPr>
          <w:trHeight w:val="363"/>
        </w:trPr>
        <w:tc>
          <w:tcPr>
            <w:tcW w:w="2546" w:type="dxa"/>
            <w:shd w:val="clear" w:color="auto" w:fill="auto"/>
            <w:noWrap/>
            <w:vAlign w:val="bottom"/>
            <w:hideMark/>
          </w:tcPr>
          <w:p w14:paraId="77C7AF28" w14:textId="77777777" w:rsidR="00D00F27" w:rsidRPr="00904BA2" w:rsidRDefault="00D00F27" w:rsidP="00D00F27">
            <w:pPr>
              <w:rPr>
                <w:i/>
                <w:iCs/>
                <w:color w:val="000000"/>
                <w:sz w:val="22"/>
                <w:szCs w:val="22"/>
              </w:rPr>
            </w:pPr>
            <w:r w:rsidRPr="00904BA2">
              <w:rPr>
                <w:i/>
                <w:iCs/>
                <w:color w:val="000000"/>
                <w:sz w:val="22"/>
                <w:szCs w:val="22"/>
              </w:rPr>
              <w:t>age</w:t>
            </w:r>
          </w:p>
        </w:tc>
        <w:tc>
          <w:tcPr>
            <w:tcW w:w="1725" w:type="dxa"/>
            <w:shd w:val="clear" w:color="auto" w:fill="auto"/>
            <w:noWrap/>
            <w:vAlign w:val="bottom"/>
            <w:hideMark/>
          </w:tcPr>
          <w:p w14:paraId="42977BA1" w14:textId="3DDB9907" w:rsidR="00D00F27" w:rsidRPr="00137C44" w:rsidRDefault="00D00F27" w:rsidP="00D00F27">
            <w:pPr>
              <w:jc w:val="right"/>
              <w:rPr>
                <w:color w:val="000000"/>
                <w:sz w:val="22"/>
                <w:szCs w:val="22"/>
                <w:lang w:val="es-ES"/>
              </w:rPr>
            </w:pPr>
            <w:r w:rsidRPr="00904BA2">
              <w:rPr>
                <w:color w:val="000000"/>
                <w:sz w:val="22"/>
                <w:szCs w:val="22"/>
              </w:rPr>
              <w:t>-0,00</w:t>
            </w:r>
            <w:r>
              <w:rPr>
                <w:color w:val="000000"/>
                <w:sz w:val="22"/>
                <w:szCs w:val="22"/>
                <w:lang w:val="es-ES"/>
              </w:rPr>
              <w:t>1</w:t>
            </w:r>
          </w:p>
        </w:tc>
        <w:tc>
          <w:tcPr>
            <w:tcW w:w="1725" w:type="dxa"/>
            <w:shd w:val="clear" w:color="auto" w:fill="auto"/>
            <w:noWrap/>
            <w:vAlign w:val="bottom"/>
            <w:hideMark/>
          </w:tcPr>
          <w:p w14:paraId="486EB11F" w14:textId="7231C0F1" w:rsidR="00D00F27" w:rsidRPr="00137C44" w:rsidRDefault="00D00F27" w:rsidP="00D00F27">
            <w:pPr>
              <w:jc w:val="right"/>
              <w:rPr>
                <w:color w:val="000000"/>
                <w:sz w:val="22"/>
                <w:szCs w:val="22"/>
                <w:lang w:val="es-ES"/>
              </w:rPr>
            </w:pPr>
            <w:r w:rsidRPr="00904BA2">
              <w:rPr>
                <w:color w:val="000000"/>
                <w:sz w:val="22"/>
                <w:szCs w:val="22"/>
              </w:rPr>
              <w:t>0,00</w:t>
            </w:r>
            <w:r>
              <w:rPr>
                <w:color w:val="000000"/>
                <w:sz w:val="22"/>
                <w:szCs w:val="22"/>
                <w:lang w:val="es-ES"/>
              </w:rPr>
              <w:t>4</w:t>
            </w:r>
          </w:p>
        </w:tc>
        <w:tc>
          <w:tcPr>
            <w:tcW w:w="1725" w:type="dxa"/>
            <w:shd w:val="clear" w:color="auto" w:fill="auto"/>
            <w:noWrap/>
            <w:vAlign w:val="bottom"/>
            <w:hideMark/>
          </w:tcPr>
          <w:p w14:paraId="598DBFBD" w14:textId="1A0DCA46" w:rsidR="00D00F27" w:rsidRPr="00904BA2" w:rsidRDefault="00D00F27" w:rsidP="00D00F27">
            <w:pPr>
              <w:jc w:val="right"/>
              <w:rPr>
                <w:color w:val="000000"/>
                <w:sz w:val="22"/>
                <w:szCs w:val="22"/>
              </w:rPr>
            </w:pPr>
            <w:r w:rsidRPr="00904BA2">
              <w:rPr>
                <w:color w:val="000000"/>
                <w:sz w:val="22"/>
                <w:szCs w:val="22"/>
              </w:rPr>
              <w:t>-1,376</w:t>
            </w:r>
          </w:p>
        </w:tc>
        <w:tc>
          <w:tcPr>
            <w:tcW w:w="1725" w:type="dxa"/>
            <w:shd w:val="clear" w:color="auto" w:fill="auto"/>
            <w:noWrap/>
            <w:vAlign w:val="bottom"/>
            <w:hideMark/>
          </w:tcPr>
          <w:p w14:paraId="2E018875" w14:textId="65E170F3" w:rsidR="00D00F27" w:rsidRPr="00904BA2" w:rsidRDefault="00D00F27" w:rsidP="00D00F27">
            <w:pPr>
              <w:jc w:val="right"/>
              <w:rPr>
                <w:color w:val="000000"/>
                <w:sz w:val="22"/>
                <w:szCs w:val="22"/>
              </w:rPr>
            </w:pPr>
            <w:r w:rsidRPr="00904BA2">
              <w:rPr>
                <w:color w:val="000000"/>
                <w:sz w:val="22"/>
                <w:szCs w:val="22"/>
              </w:rPr>
              <w:t>0,168</w:t>
            </w:r>
          </w:p>
        </w:tc>
      </w:tr>
      <w:tr w:rsidR="00D00F27" w14:paraId="59226A76" w14:textId="77777777" w:rsidTr="00887BAA">
        <w:trPr>
          <w:trHeight w:val="363"/>
        </w:trPr>
        <w:tc>
          <w:tcPr>
            <w:tcW w:w="2546" w:type="dxa"/>
            <w:shd w:val="clear" w:color="auto" w:fill="auto"/>
            <w:noWrap/>
            <w:vAlign w:val="bottom"/>
            <w:hideMark/>
          </w:tcPr>
          <w:p w14:paraId="1F7DA2EE" w14:textId="3362E4FD" w:rsidR="00D00F27" w:rsidRPr="004A3991" w:rsidRDefault="00D00F27" w:rsidP="00D00F27">
            <w:pPr>
              <w:rPr>
                <w:i/>
                <w:iCs/>
                <w:color w:val="000000"/>
                <w:sz w:val="22"/>
                <w:szCs w:val="22"/>
                <w:lang w:val="es-ES"/>
              </w:rPr>
            </w:pPr>
            <w:r>
              <w:rPr>
                <w:i/>
                <w:iCs/>
                <w:color w:val="000000"/>
                <w:sz w:val="22"/>
                <w:szCs w:val="22"/>
                <w:lang w:val="es-ES"/>
              </w:rPr>
              <w:t>log(</w:t>
            </w:r>
            <w:proofErr w:type="spellStart"/>
            <w:r>
              <w:rPr>
                <w:i/>
                <w:iCs/>
                <w:color w:val="000000"/>
                <w:sz w:val="22"/>
                <w:szCs w:val="22"/>
                <w:lang w:val="es-ES"/>
              </w:rPr>
              <w:t>income</w:t>
            </w:r>
            <w:proofErr w:type="spellEnd"/>
            <w:r>
              <w:rPr>
                <w:i/>
                <w:iCs/>
                <w:color w:val="000000"/>
                <w:sz w:val="22"/>
                <w:szCs w:val="22"/>
                <w:lang w:val="es-ES"/>
              </w:rPr>
              <w:t>)</w:t>
            </w:r>
          </w:p>
        </w:tc>
        <w:tc>
          <w:tcPr>
            <w:tcW w:w="1725" w:type="dxa"/>
            <w:shd w:val="clear" w:color="auto" w:fill="auto"/>
            <w:noWrap/>
            <w:vAlign w:val="bottom"/>
            <w:hideMark/>
          </w:tcPr>
          <w:p w14:paraId="31E0517D" w14:textId="27D10226" w:rsidR="00D00F27" w:rsidRPr="00137C44" w:rsidRDefault="00D00F27" w:rsidP="00D00F27">
            <w:pPr>
              <w:jc w:val="right"/>
              <w:rPr>
                <w:color w:val="000000"/>
                <w:sz w:val="22"/>
                <w:szCs w:val="22"/>
                <w:lang w:val="es-ES"/>
              </w:rPr>
            </w:pPr>
            <w:r w:rsidRPr="00904BA2">
              <w:rPr>
                <w:color w:val="000000"/>
                <w:sz w:val="22"/>
                <w:szCs w:val="22"/>
              </w:rPr>
              <w:t>-0,00</w:t>
            </w:r>
            <w:r>
              <w:rPr>
                <w:color w:val="000000"/>
                <w:sz w:val="22"/>
                <w:szCs w:val="22"/>
                <w:lang w:val="es-ES"/>
              </w:rPr>
              <w:t>4</w:t>
            </w:r>
          </w:p>
        </w:tc>
        <w:tc>
          <w:tcPr>
            <w:tcW w:w="1725" w:type="dxa"/>
            <w:shd w:val="clear" w:color="auto" w:fill="auto"/>
            <w:noWrap/>
            <w:vAlign w:val="bottom"/>
            <w:hideMark/>
          </w:tcPr>
          <w:p w14:paraId="05A2F7C3" w14:textId="5F9E2D98" w:rsidR="00D00F27" w:rsidRPr="00137C44" w:rsidRDefault="00D00F27" w:rsidP="00D00F27">
            <w:pPr>
              <w:jc w:val="right"/>
              <w:rPr>
                <w:color w:val="000000"/>
                <w:sz w:val="22"/>
                <w:szCs w:val="22"/>
                <w:lang w:val="es-ES"/>
              </w:rPr>
            </w:pPr>
            <w:r w:rsidRPr="00904BA2">
              <w:rPr>
                <w:color w:val="000000"/>
                <w:sz w:val="22"/>
                <w:szCs w:val="22"/>
              </w:rPr>
              <w:t>0,00</w:t>
            </w:r>
            <w:r>
              <w:rPr>
                <w:color w:val="000000"/>
                <w:sz w:val="22"/>
                <w:szCs w:val="22"/>
                <w:lang w:val="es-ES"/>
              </w:rPr>
              <w:t>3</w:t>
            </w:r>
          </w:p>
        </w:tc>
        <w:tc>
          <w:tcPr>
            <w:tcW w:w="1725" w:type="dxa"/>
            <w:shd w:val="clear" w:color="auto" w:fill="auto"/>
            <w:noWrap/>
            <w:vAlign w:val="bottom"/>
            <w:hideMark/>
          </w:tcPr>
          <w:p w14:paraId="5807B507" w14:textId="332B9D0A" w:rsidR="00D00F27" w:rsidRPr="00904BA2" w:rsidRDefault="00D00F27" w:rsidP="00D00F27">
            <w:pPr>
              <w:jc w:val="right"/>
              <w:rPr>
                <w:color w:val="000000"/>
                <w:sz w:val="22"/>
                <w:szCs w:val="22"/>
              </w:rPr>
            </w:pPr>
            <w:r w:rsidRPr="00904BA2">
              <w:rPr>
                <w:color w:val="000000"/>
                <w:sz w:val="22"/>
                <w:szCs w:val="22"/>
              </w:rPr>
              <w:t>-1,244</w:t>
            </w:r>
          </w:p>
        </w:tc>
        <w:tc>
          <w:tcPr>
            <w:tcW w:w="1725" w:type="dxa"/>
            <w:shd w:val="clear" w:color="auto" w:fill="auto"/>
            <w:noWrap/>
            <w:vAlign w:val="bottom"/>
            <w:hideMark/>
          </w:tcPr>
          <w:p w14:paraId="3AB8A86E" w14:textId="14DBB67C" w:rsidR="00D00F27" w:rsidRPr="0040484C" w:rsidRDefault="00D00F27" w:rsidP="00D00F27">
            <w:pPr>
              <w:jc w:val="right"/>
              <w:rPr>
                <w:color w:val="000000"/>
                <w:sz w:val="22"/>
                <w:szCs w:val="22"/>
                <w:lang w:val="es-ES"/>
              </w:rPr>
            </w:pPr>
            <w:r w:rsidRPr="00904BA2">
              <w:rPr>
                <w:color w:val="000000"/>
                <w:sz w:val="22"/>
                <w:szCs w:val="22"/>
              </w:rPr>
              <w:t>0,21</w:t>
            </w:r>
            <w:r>
              <w:rPr>
                <w:color w:val="000000"/>
                <w:sz w:val="22"/>
                <w:szCs w:val="22"/>
                <w:lang w:val="es-ES"/>
              </w:rPr>
              <w:t>4</w:t>
            </w:r>
          </w:p>
        </w:tc>
      </w:tr>
      <w:tr w:rsidR="00D00F27" w14:paraId="12DF0543" w14:textId="77777777" w:rsidTr="00887BAA">
        <w:trPr>
          <w:trHeight w:val="363"/>
        </w:trPr>
        <w:tc>
          <w:tcPr>
            <w:tcW w:w="2546" w:type="dxa"/>
            <w:shd w:val="clear" w:color="auto" w:fill="auto"/>
            <w:noWrap/>
            <w:vAlign w:val="bottom"/>
            <w:hideMark/>
          </w:tcPr>
          <w:p w14:paraId="185B1D4B" w14:textId="7D93A643" w:rsidR="00D00F27" w:rsidRPr="004A3991" w:rsidRDefault="00D00F27" w:rsidP="00D00F27">
            <w:pPr>
              <w:rPr>
                <w:i/>
                <w:iCs/>
                <w:color w:val="000000"/>
                <w:sz w:val="22"/>
                <w:szCs w:val="22"/>
                <w:lang w:val="es-ES"/>
              </w:rPr>
            </w:pPr>
            <w:proofErr w:type="spellStart"/>
            <w:r>
              <w:rPr>
                <w:i/>
                <w:iCs/>
                <w:color w:val="000000"/>
                <w:sz w:val="22"/>
                <w:szCs w:val="22"/>
                <w:lang w:val="es-ES"/>
              </w:rPr>
              <w:t>gender</w:t>
            </w:r>
            <w:proofErr w:type="spellEnd"/>
          </w:p>
        </w:tc>
        <w:tc>
          <w:tcPr>
            <w:tcW w:w="1725" w:type="dxa"/>
            <w:shd w:val="clear" w:color="auto" w:fill="auto"/>
            <w:noWrap/>
            <w:vAlign w:val="bottom"/>
            <w:hideMark/>
          </w:tcPr>
          <w:p w14:paraId="7A7F735A" w14:textId="05A352BF" w:rsidR="00D00F27" w:rsidRPr="00137C44" w:rsidRDefault="00D00F27" w:rsidP="00D00F27">
            <w:pPr>
              <w:jc w:val="right"/>
              <w:rPr>
                <w:color w:val="000000"/>
                <w:sz w:val="22"/>
                <w:szCs w:val="22"/>
                <w:lang w:val="es-ES"/>
              </w:rPr>
            </w:pPr>
            <w:r w:rsidRPr="00904BA2">
              <w:rPr>
                <w:color w:val="000000"/>
                <w:sz w:val="22"/>
                <w:szCs w:val="22"/>
              </w:rPr>
              <w:t>-0,00</w:t>
            </w:r>
            <w:r>
              <w:rPr>
                <w:color w:val="000000"/>
                <w:sz w:val="22"/>
                <w:szCs w:val="22"/>
                <w:lang w:val="es-ES"/>
              </w:rPr>
              <w:t>7</w:t>
            </w:r>
          </w:p>
        </w:tc>
        <w:tc>
          <w:tcPr>
            <w:tcW w:w="1725" w:type="dxa"/>
            <w:shd w:val="clear" w:color="auto" w:fill="auto"/>
            <w:noWrap/>
            <w:vAlign w:val="bottom"/>
            <w:hideMark/>
          </w:tcPr>
          <w:p w14:paraId="06792AE0" w14:textId="317E3DE0" w:rsidR="00D00F27" w:rsidRPr="00904BA2" w:rsidRDefault="00D00F27" w:rsidP="00D00F27">
            <w:pPr>
              <w:jc w:val="right"/>
              <w:rPr>
                <w:color w:val="000000"/>
                <w:sz w:val="22"/>
                <w:szCs w:val="22"/>
              </w:rPr>
            </w:pPr>
            <w:r w:rsidRPr="00904BA2">
              <w:rPr>
                <w:color w:val="000000"/>
                <w:sz w:val="22"/>
                <w:szCs w:val="22"/>
              </w:rPr>
              <w:t>0,013</w:t>
            </w:r>
          </w:p>
        </w:tc>
        <w:tc>
          <w:tcPr>
            <w:tcW w:w="1725" w:type="dxa"/>
            <w:shd w:val="clear" w:color="auto" w:fill="auto"/>
            <w:noWrap/>
            <w:vAlign w:val="bottom"/>
            <w:hideMark/>
          </w:tcPr>
          <w:p w14:paraId="716E8B7E" w14:textId="6EF7F4EA" w:rsidR="00D00F27" w:rsidRPr="00904BA2" w:rsidRDefault="00D00F27" w:rsidP="00D00F27">
            <w:pPr>
              <w:jc w:val="right"/>
              <w:rPr>
                <w:color w:val="000000"/>
                <w:sz w:val="22"/>
                <w:szCs w:val="22"/>
              </w:rPr>
            </w:pPr>
            <w:r w:rsidRPr="00904BA2">
              <w:rPr>
                <w:color w:val="000000"/>
                <w:sz w:val="22"/>
                <w:szCs w:val="22"/>
              </w:rPr>
              <w:t>-0,497</w:t>
            </w:r>
          </w:p>
        </w:tc>
        <w:tc>
          <w:tcPr>
            <w:tcW w:w="1725" w:type="dxa"/>
            <w:shd w:val="clear" w:color="auto" w:fill="auto"/>
            <w:noWrap/>
            <w:vAlign w:val="bottom"/>
            <w:hideMark/>
          </w:tcPr>
          <w:p w14:paraId="38EA62DA" w14:textId="55565F0B" w:rsidR="00D00F27" w:rsidRPr="0040484C" w:rsidRDefault="00D00F27" w:rsidP="00D00F27">
            <w:pPr>
              <w:jc w:val="right"/>
              <w:rPr>
                <w:color w:val="000000"/>
                <w:sz w:val="22"/>
                <w:szCs w:val="22"/>
                <w:lang w:val="es-ES"/>
              </w:rPr>
            </w:pPr>
            <w:r w:rsidRPr="00904BA2">
              <w:rPr>
                <w:color w:val="000000"/>
                <w:sz w:val="22"/>
                <w:szCs w:val="22"/>
              </w:rPr>
              <w:t>0,61</w:t>
            </w:r>
            <w:r>
              <w:rPr>
                <w:color w:val="000000"/>
                <w:sz w:val="22"/>
                <w:szCs w:val="22"/>
                <w:lang w:val="es-ES"/>
              </w:rPr>
              <w:t>9</w:t>
            </w:r>
          </w:p>
        </w:tc>
      </w:tr>
      <w:tr w:rsidR="00D00F27" w14:paraId="349F2AFE" w14:textId="77777777" w:rsidTr="00887BAA">
        <w:trPr>
          <w:trHeight w:val="363"/>
        </w:trPr>
        <w:tc>
          <w:tcPr>
            <w:tcW w:w="2546" w:type="dxa"/>
            <w:shd w:val="clear" w:color="auto" w:fill="auto"/>
            <w:noWrap/>
            <w:vAlign w:val="bottom"/>
            <w:hideMark/>
          </w:tcPr>
          <w:p w14:paraId="10D99A6F" w14:textId="128792E8" w:rsidR="00D00F27" w:rsidRPr="004A3991" w:rsidRDefault="00D00F27" w:rsidP="00D00F27">
            <w:pPr>
              <w:rPr>
                <w:i/>
                <w:iCs/>
                <w:color w:val="000000"/>
                <w:sz w:val="22"/>
                <w:szCs w:val="22"/>
                <w:lang w:val="es-ES"/>
              </w:rPr>
            </w:pPr>
            <w:proofErr w:type="spellStart"/>
            <w:r>
              <w:rPr>
                <w:i/>
                <w:iCs/>
                <w:color w:val="000000"/>
                <w:sz w:val="22"/>
                <w:szCs w:val="22"/>
                <w:lang w:val="es-ES"/>
              </w:rPr>
              <w:t>education</w:t>
            </w:r>
            <w:proofErr w:type="spellEnd"/>
          </w:p>
        </w:tc>
        <w:tc>
          <w:tcPr>
            <w:tcW w:w="1725" w:type="dxa"/>
            <w:shd w:val="clear" w:color="auto" w:fill="auto"/>
            <w:noWrap/>
            <w:vAlign w:val="bottom"/>
            <w:hideMark/>
          </w:tcPr>
          <w:p w14:paraId="0706458E" w14:textId="56DCBFC7" w:rsidR="00D00F27" w:rsidRPr="00904BA2" w:rsidRDefault="00D00F27" w:rsidP="00D00F27">
            <w:pPr>
              <w:jc w:val="right"/>
              <w:rPr>
                <w:color w:val="000000"/>
                <w:sz w:val="22"/>
                <w:szCs w:val="22"/>
              </w:rPr>
            </w:pPr>
            <w:r w:rsidRPr="00904BA2">
              <w:rPr>
                <w:color w:val="000000"/>
                <w:sz w:val="22"/>
                <w:szCs w:val="22"/>
              </w:rPr>
              <w:t>-0,012</w:t>
            </w:r>
          </w:p>
        </w:tc>
        <w:tc>
          <w:tcPr>
            <w:tcW w:w="1725" w:type="dxa"/>
            <w:shd w:val="clear" w:color="auto" w:fill="auto"/>
            <w:noWrap/>
            <w:vAlign w:val="bottom"/>
            <w:hideMark/>
          </w:tcPr>
          <w:p w14:paraId="16A71907" w14:textId="7A8FB471" w:rsidR="00D00F27" w:rsidRPr="00904BA2" w:rsidRDefault="00D00F27" w:rsidP="00D00F27">
            <w:pPr>
              <w:jc w:val="right"/>
              <w:rPr>
                <w:color w:val="000000"/>
                <w:sz w:val="22"/>
                <w:szCs w:val="22"/>
              </w:rPr>
            </w:pPr>
            <w:r w:rsidRPr="00904BA2">
              <w:rPr>
                <w:color w:val="000000"/>
                <w:sz w:val="22"/>
                <w:szCs w:val="22"/>
              </w:rPr>
              <w:t>0,012</w:t>
            </w:r>
          </w:p>
        </w:tc>
        <w:tc>
          <w:tcPr>
            <w:tcW w:w="1725" w:type="dxa"/>
            <w:shd w:val="clear" w:color="auto" w:fill="auto"/>
            <w:noWrap/>
            <w:vAlign w:val="bottom"/>
            <w:hideMark/>
          </w:tcPr>
          <w:p w14:paraId="2377DD1D" w14:textId="63CA1B8A" w:rsidR="00D00F27" w:rsidRPr="00904BA2" w:rsidRDefault="00D00F27" w:rsidP="00D00F27">
            <w:pPr>
              <w:jc w:val="right"/>
              <w:rPr>
                <w:color w:val="000000"/>
                <w:sz w:val="22"/>
                <w:szCs w:val="22"/>
              </w:rPr>
            </w:pPr>
            <w:r w:rsidRPr="00904BA2">
              <w:rPr>
                <w:color w:val="000000"/>
                <w:sz w:val="22"/>
                <w:szCs w:val="22"/>
              </w:rPr>
              <w:t>-0,978</w:t>
            </w:r>
          </w:p>
        </w:tc>
        <w:tc>
          <w:tcPr>
            <w:tcW w:w="1725" w:type="dxa"/>
            <w:shd w:val="clear" w:color="auto" w:fill="auto"/>
            <w:noWrap/>
            <w:vAlign w:val="bottom"/>
            <w:hideMark/>
          </w:tcPr>
          <w:p w14:paraId="486A6485" w14:textId="69A3CAE7" w:rsidR="00D00F27" w:rsidRPr="00904BA2" w:rsidRDefault="00D00F27" w:rsidP="00D00F27">
            <w:pPr>
              <w:jc w:val="right"/>
              <w:rPr>
                <w:color w:val="000000"/>
                <w:sz w:val="22"/>
                <w:szCs w:val="22"/>
              </w:rPr>
            </w:pPr>
            <w:r w:rsidRPr="00904BA2">
              <w:rPr>
                <w:color w:val="000000"/>
                <w:sz w:val="22"/>
                <w:szCs w:val="22"/>
              </w:rPr>
              <w:t>0,327</w:t>
            </w:r>
          </w:p>
        </w:tc>
      </w:tr>
      <w:tr w:rsidR="00D00F27" w14:paraId="4911E6BC" w14:textId="77777777" w:rsidTr="00887BAA">
        <w:trPr>
          <w:trHeight w:val="363"/>
        </w:trPr>
        <w:tc>
          <w:tcPr>
            <w:tcW w:w="2546" w:type="dxa"/>
            <w:shd w:val="clear" w:color="auto" w:fill="auto"/>
            <w:noWrap/>
            <w:vAlign w:val="bottom"/>
            <w:hideMark/>
          </w:tcPr>
          <w:p w14:paraId="59412298" w14:textId="00DFF431" w:rsidR="00D00F27" w:rsidRPr="004A3991" w:rsidRDefault="00D00F27" w:rsidP="00D00F27">
            <w:pPr>
              <w:rPr>
                <w:i/>
                <w:iCs/>
                <w:color w:val="000000"/>
                <w:sz w:val="22"/>
                <w:szCs w:val="22"/>
                <w:lang w:val="es-ES"/>
              </w:rPr>
            </w:pPr>
            <w:proofErr w:type="spellStart"/>
            <w:r>
              <w:rPr>
                <w:i/>
                <w:iCs/>
                <w:color w:val="000000"/>
                <w:sz w:val="22"/>
                <w:szCs w:val="22"/>
                <w:lang w:val="es-ES"/>
              </w:rPr>
              <w:t>accommodation</w:t>
            </w:r>
            <w:proofErr w:type="spellEnd"/>
          </w:p>
        </w:tc>
        <w:tc>
          <w:tcPr>
            <w:tcW w:w="1725" w:type="dxa"/>
            <w:shd w:val="clear" w:color="auto" w:fill="auto"/>
            <w:noWrap/>
            <w:vAlign w:val="bottom"/>
            <w:hideMark/>
          </w:tcPr>
          <w:p w14:paraId="32D916A2" w14:textId="2AAFC0EB" w:rsidR="00D00F27" w:rsidRPr="00137C44" w:rsidRDefault="00D00F27" w:rsidP="00D00F27">
            <w:pPr>
              <w:jc w:val="right"/>
              <w:rPr>
                <w:color w:val="000000"/>
                <w:sz w:val="22"/>
                <w:szCs w:val="22"/>
                <w:lang w:val="es-ES"/>
              </w:rPr>
            </w:pPr>
            <w:r w:rsidRPr="00904BA2">
              <w:rPr>
                <w:color w:val="000000"/>
                <w:sz w:val="22"/>
                <w:szCs w:val="22"/>
              </w:rPr>
              <w:t>0,02</w:t>
            </w:r>
            <w:r>
              <w:rPr>
                <w:color w:val="000000"/>
                <w:sz w:val="22"/>
                <w:szCs w:val="22"/>
                <w:lang w:val="es-ES"/>
              </w:rPr>
              <w:t>5</w:t>
            </w:r>
          </w:p>
        </w:tc>
        <w:tc>
          <w:tcPr>
            <w:tcW w:w="1725" w:type="dxa"/>
            <w:shd w:val="clear" w:color="auto" w:fill="auto"/>
            <w:noWrap/>
            <w:vAlign w:val="bottom"/>
            <w:hideMark/>
          </w:tcPr>
          <w:p w14:paraId="4D461087" w14:textId="36D105A9" w:rsidR="00D00F27" w:rsidRPr="00137C44" w:rsidRDefault="00D00F27" w:rsidP="00D00F27">
            <w:pPr>
              <w:jc w:val="right"/>
              <w:rPr>
                <w:color w:val="000000"/>
                <w:sz w:val="22"/>
                <w:szCs w:val="22"/>
                <w:lang w:val="es-ES"/>
              </w:rPr>
            </w:pPr>
            <w:r w:rsidRPr="00904BA2">
              <w:rPr>
                <w:color w:val="000000"/>
                <w:sz w:val="22"/>
                <w:szCs w:val="22"/>
              </w:rPr>
              <w:t>0,01</w:t>
            </w:r>
            <w:r>
              <w:rPr>
                <w:color w:val="000000"/>
                <w:sz w:val="22"/>
                <w:szCs w:val="22"/>
                <w:lang w:val="es-ES"/>
              </w:rPr>
              <w:t>7</w:t>
            </w:r>
          </w:p>
        </w:tc>
        <w:tc>
          <w:tcPr>
            <w:tcW w:w="1725" w:type="dxa"/>
            <w:shd w:val="clear" w:color="auto" w:fill="auto"/>
            <w:noWrap/>
            <w:vAlign w:val="bottom"/>
            <w:hideMark/>
          </w:tcPr>
          <w:p w14:paraId="13F4F66B" w14:textId="47F7605E" w:rsidR="00D00F27" w:rsidRPr="00904BA2" w:rsidRDefault="00D00F27" w:rsidP="00D00F27">
            <w:pPr>
              <w:jc w:val="right"/>
              <w:rPr>
                <w:color w:val="000000"/>
                <w:sz w:val="22"/>
                <w:szCs w:val="22"/>
              </w:rPr>
            </w:pPr>
            <w:r w:rsidRPr="00904BA2">
              <w:rPr>
                <w:color w:val="000000"/>
                <w:sz w:val="22"/>
                <w:szCs w:val="22"/>
              </w:rPr>
              <w:t>1,471</w:t>
            </w:r>
          </w:p>
        </w:tc>
        <w:tc>
          <w:tcPr>
            <w:tcW w:w="1725" w:type="dxa"/>
            <w:shd w:val="clear" w:color="auto" w:fill="auto"/>
            <w:noWrap/>
            <w:vAlign w:val="bottom"/>
            <w:hideMark/>
          </w:tcPr>
          <w:p w14:paraId="379E2583" w14:textId="6A4240FD" w:rsidR="00D00F27" w:rsidRPr="00904BA2" w:rsidRDefault="00D00F27" w:rsidP="00D00F27">
            <w:pPr>
              <w:jc w:val="right"/>
              <w:rPr>
                <w:color w:val="000000"/>
                <w:sz w:val="22"/>
                <w:szCs w:val="22"/>
              </w:rPr>
            </w:pPr>
            <w:r w:rsidRPr="00904BA2">
              <w:rPr>
                <w:color w:val="000000"/>
                <w:sz w:val="22"/>
                <w:szCs w:val="22"/>
              </w:rPr>
              <w:t>0,141</w:t>
            </w:r>
          </w:p>
        </w:tc>
      </w:tr>
      <w:tr w:rsidR="00D00F27" w14:paraId="51A97340" w14:textId="77777777" w:rsidTr="00887BAA">
        <w:trPr>
          <w:trHeight w:val="363"/>
        </w:trPr>
        <w:tc>
          <w:tcPr>
            <w:tcW w:w="2546" w:type="dxa"/>
            <w:shd w:val="clear" w:color="auto" w:fill="auto"/>
            <w:noWrap/>
            <w:vAlign w:val="bottom"/>
            <w:hideMark/>
          </w:tcPr>
          <w:p w14:paraId="4ECD9376" w14:textId="3B4C9963" w:rsidR="00D00F27" w:rsidRPr="004A3991" w:rsidRDefault="00D00F27" w:rsidP="00D00F27">
            <w:pPr>
              <w:rPr>
                <w:i/>
                <w:iCs/>
                <w:color w:val="000000"/>
                <w:sz w:val="22"/>
                <w:szCs w:val="22"/>
                <w:lang w:val="es-ES"/>
              </w:rPr>
            </w:pPr>
            <w:proofErr w:type="spellStart"/>
            <w:r>
              <w:rPr>
                <w:i/>
                <w:iCs/>
                <w:color w:val="000000"/>
                <w:sz w:val="22"/>
                <w:szCs w:val="22"/>
                <w:lang w:val="es-ES"/>
              </w:rPr>
              <w:t>partner</w:t>
            </w:r>
            <w:proofErr w:type="spellEnd"/>
          </w:p>
        </w:tc>
        <w:tc>
          <w:tcPr>
            <w:tcW w:w="1725" w:type="dxa"/>
            <w:shd w:val="clear" w:color="auto" w:fill="auto"/>
            <w:noWrap/>
            <w:vAlign w:val="bottom"/>
            <w:hideMark/>
          </w:tcPr>
          <w:p w14:paraId="3F9EF58D" w14:textId="494E94E8" w:rsidR="00D00F27" w:rsidRPr="00904BA2" w:rsidRDefault="00D00F27" w:rsidP="00D00F27">
            <w:pPr>
              <w:jc w:val="right"/>
              <w:rPr>
                <w:color w:val="000000"/>
                <w:sz w:val="22"/>
                <w:szCs w:val="22"/>
              </w:rPr>
            </w:pPr>
            <w:r w:rsidRPr="00904BA2">
              <w:rPr>
                <w:color w:val="000000"/>
                <w:sz w:val="22"/>
                <w:szCs w:val="22"/>
              </w:rPr>
              <w:t>0,011</w:t>
            </w:r>
          </w:p>
        </w:tc>
        <w:tc>
          <w:tcPr>
            <w:tcW w:w="1725" w:type="dxa"/>
            <w:shd w:val="clear" w:color="auto" w:fill="auto"/>
            <w:noWrap/>
            <w:vAlign w:val="bottom"/>
            <w:hideMark/>
          </w:tcPr>
          <w:p w14:paraId="503EFA56" w14:textId="05D32656" w:rsidR="00D00F27" w:rsidRPr="00137C44" w:rsidRDefault="00D00F27" w:rsidP="00D00F27">
            <w:pPr>
              <w:jc w:val="right"/>
              <w:rPr>
                <w:color w:val="000000"/>
                <w:sz w:val="22"/>
                <w:szCs w:val="22"/>
                <w:lang w:val="es-ES"/>
              </w:rPr>
            </w:pPr>
            <w:r w:rsidRPr="00904BA2">
              <w:rPr>
                <w:color w:val="000000"/>
                <w:sz w:val="22"/>
                <w:szCs w:val="22"/>
              </w:rPr>
              <w:t>0,01</w:t>
            </w:r>
            <w:r>
              <w:rPr>
                <w:color w:val="000000"/>
                <w:sz w:val="22"/>
                <w:szCs w:val="22"/>
                <w:lang w:val="es-ES"/>
              </w:rPr>
              <w:t>3</w:t>
            </w:r>
          </w:p>
        </w:tc>
        <w:tc>
          <w:tcPr>
            <w:tcW w:w="1725" w:type="dxa"/>
            <w:shd w:val="clear" w:color="auto" w:fill="auto"/>
            <w:noWrap/>
            <w:vAlign w:val="bottom"/>
            <w:hideMark/>
          </w:tcPr>
          <w:p w14:paraId="1B16A676" w14:textId="225AB226" w:rsidR="00D00F27" w:rsidRPr="00904BA2" w:rsidRDefault="00D00F27" w:rsidP="00D00F27">
            <w:pPr>
              <w:jc w:val="right"/>
              <w:rPr>
                <w:color w:val="000000"/>
                <w:sz w:val="22"/>
                <w:szCs w:val="22"/>
              </w:rPr>
            </w:pPr>
            <w:r w:rsidRPr="00904BA2">
              <w:rPr>
                <w:color w:val="000000"/>
                <w:sz w:val="22"/>
                <w:szCs w:val="22"/>
              </w:rPr>
              <w:t>0,881</w:t>
            </w:r>
          </w:p>
        </w:tc>
        <w:tc>
          <w:tcPr>
            <w:tcW w:w="1725" w:type="dxa"/>
            <w:shd w:val="clear" w:color="auto" w:fill="auto"/>
            <w:noWrap/>
            <w:vAlign w:val="bottom"/>
            <w:hideMark/>
          </w:tcPr>
          <w:p w14:paraId="4EFCC1F3" w14:textId="3454E521" w:rsidR="00D00F27" w:rsidRPr="00904BA2" w:rsidRDefault="00D00F27" w:rsidP="00D00F27">
            <w:pPr>
              <w:jc w:val="right"/>
              <w:rPr>
                <w:color w:val="000000"/>
                <w:sz w:val="22"/>
                <w:szCs w:val="22"/>
              </w:rPr>
            </w:pPr>
            <w:r w:rsidRPr="00904BA2">
              <w:rPr>
                <w:color w:val="000000"/>
                <w:sz w:val="22"/>
                <w:szCs w:val="22"/>
              </w:rPr>
              <w:t>0,378</w:t>
            </w:r>
          </w:p>
        </w:tc>
      </w:tr>
    </w:tbl>
    <w:p w14:paraId="2062C689" w14:textId="2DE27440" w:rsidR="00887BAA" w:rsidRPr="00267ADE" w:rsidRDefault="00887BAA" w:rsidP="00887BAA">
      <w:pPr>
        <w:spacing w:line="360" w:lineRule="auto"/>
        <w:rPr>
          <w:i/>
          <w:iCs/>
        </w:rPr>
      </w:pPr>
      <w:r>
        <w:rPr>
          <w:i/>
          <w:iCs/>
        </w:rPr>
        <w:t xml:space="preserve">N = </w:t>
      </w:r>
      <w:r w:rsidRPr="00267ADE">
        <w:t>1963</w:t>
      </w:r>
      <w:r>
        <w:rPr>
          <w:i/>
          <w:iCs/>
        </w:rPr>
        <w:tab/>
        <w:t>R</w:t>
      </w:r>
      <w:r>
        <w:rPr>
          <w:i/>
          <w:iCs/>
          <w:vertAlign w:val="superscript"/>
        </w:rPr>
        <w:t>2</w:t>
      </w:r>
      <w:r>
        <w:rPr>
          <w:i/>
          <w:iCs/>
        </w:rPr>
        <w:t xml:space="preserve">= </w:t>
      </w:r>
      <w:r w:rsidRPr="00887BAA">
        <w:t>0.008</w:t>
      </w:r>
      <w:r>
        <w:rPr>
          <w:i/>
          <w:iCs/>
        </w:rPr>
        <w:tab/>
        <w:t>Multiple R</w:t>
      </w:r>
      <w:r>
        <w:rPr>
          <w:i/>
          <w:iCs/>
          <w:vertAlign w:val="superscript"/>
        </w:rPr>
        <w:t>2</w:t>
      </w:r>
      <w:r>
        <w:rPr>
          <w:i/>
          <w:iCs/>
        </w:rPr>
        <w:t>=</w:t>
      </w:r>
      <w:r w:rsidRPr="00887BAA">
        <w:t>0.090</w:t>
      </w:r>
    </w:p>
    <w:p w14:paraId="7C6AA5D0" w14:textId="2EE6AFD7" w:rsidR="00267ADE" w:rsidRDefault="00267ADE" w:rsidP="00CF1860">
      <w:pPr>
        <w:spacing w:line="360" w:lineRule="auto"/>
        <w:rPr>
          <w:b/>
          <w:bCs/>
        </w:rPr>
      </w:pPr>
    </w:p>
    <w:p w14:paraId="69F0C66B" w14:textId="782C8D11" w:rsidR="00CE6F0F" w:rsidRDefault="0084086B" w:rsidP="00CF1860">
      <w:pPr>
        <w:spacing w:line="360" w:lineRule="auto"/>
      </w:pPr>
      <w:r>
        <w:t xml:space="preserve">As in the book to value factor, here, we </w:t>
      </w:r>
      <w:r w:rsidR="008355AC">
        <w:t>can affirm at a 95% confidence level that the wealthier an individual, the more likely it will be to invest in the long leg of the investment pattern factor of the FF5FM.</w:t>
      </w:r>
    </w:p>
    <w:p w14:paraId="602CC574" w14:textId="309FCBC8" w:rsidR="000E3083" w:rsidRDefault="000E3083" w:rsidP="00CF1860">
      <w:pPr>
        <w:spacing w:line="360" w:lineRule="auto"/>
      </w:pPr>
    </w:p>
    <w:p w14:paraId="7D598CEC" w14:textId="6F802EB2" w:rsidR="000E3083" w:rsidRDefault="000E3083" w:rsidP="00CF1860">
      <w:pPr>
        <w:spacing w:line="360" w:lineRule="auto"/>
      </w:pPr>
    </w:p>
    <w:p w14:paraId="238C5156" w14:textId="59190EA8" w:rsidR="000E3083" w:rsidRDefault="000E3083" w:rsidP="00CF1860">
      <w:pPr>
        <w:spacing w:line="360" w:lineRule="auto"/>
      </w:pPr>
    </w:p>
    <w:p w14:paraId="315428A3" w14:textId="04A7B462" w:rsidR="000E3083" w:rsidRDefault="000E3083" w:rsidP="00CF1860">
      <w:pPr>
        <w:spacing w:line="360" w:lineRule="auto"/>
      </w:pPr>
    </w:p>
    <w:p w14:paraId="30BFCBCD" w14:textId="48FA33CA" w:rsidR="000E3083" w:rsidRDefault="000E3083" w:rsidP="00CF1860">
      <w:pPr>
        <w:spacing w:line="360" w:lineRule="auto"/>
      </w:pPr>
    </w:p>
    <w:p w14:paraId="41A1AEB0" w14:textId="72B77BC3" w:rsidR="000E3083" w:rsidRDefault="000E3083" w:rsidP="00CF1860">
      <w:pPr>
        <w:spacing w:line="360" w:lineRule="auto"/>
      </w:pPr>
    </w:p>
    <w:p w14:paraId="0413E247" w14:textId="77777777" w:rsidR="000E3083" w:rsidRPr="000E3083" w:rsidRDefault="000E3083" w:rsidP="00CF1860">
      <w:pPr>
        <w:spacing w:line="360" w:lineRule="auto"/>
      </w:pPr>
    </w:p>
    <w:p w14:paraId="5D900DC1" w14:textId="77777777" w:rsidR="00CE6F0F" w:rsidRDefault="00CE6F0F" w:rsidP="00CF1860">
      <w:pPr>
        <w:spacing w:line="360" w:lineRule="auto"/>
        <w:rPr>
          <w:b/>
          <w:bCs/>
          <w:u w:val="single"/>
        </w:rPr>
      </w:pPr>
    </w:p>
    <w:p w14:paraId="72B8EEC9" w14:textId="1145F69D" w:rsidR="00CE5B0F" w:rsidRPr="000F702A" w:rsidRDefault="000A6E41" w:rsidP="000F702A">
      <w:pPr>
        <w:pStyle w:val="Heading2"/>
        <w:rPr>
          <w:rFonts w:ascii="Times New Roman" w:hAnsi="Times New Roman" w:cs="Times New Roman"/>
          <w:b/>
          <w:bCs/>
          <w:color w:val="000000" w:themeColor="text1"/>
          <w:sz w:val="24"/>
          <w:szCs w:val="24"/>
        </w:rPr>
      </w:pPr>
      <w:bookmarkStart w:id="32" w:name="_Toc102301215"/>
      <w:bookmarkStart w:id="33" w:name="_Toc103963057"/>
      <w:r w:rsidRPr="000F702A">
        <w:rPr>
          <w:rFonts w:ascii="Times New Roman" w:hAnsi="Times New Roman" w:cs="Times New Roman"/>
          <w:b/>
          <w:bCs/>
          <w:color w:val="000000" w:themeColor="text1"/>
          <w:sz w:val="24"/>
          <w:szCs w:val="24"/>
        </w:rPr>
        <w:lastRenderedPageBreak/>
        <w:t>4</w:t>
      </w:r>
      <w:r w:rsidR="00CE5B0F" w:rsidRPr="000F702A">
        <w:rPr>
          <w:rFonts w:ascii="Times New Roman" w:hAnsi="Times New Roman" w:cs="Times New Roman"/>
          <w:b/>
          <w:bCs/>
          <w:color w:val="000000" w:themeColor="text1"/>
          <w:sz w:val="24"/>
          <w:szCs w:val="24"/>
        </w:rPr>
        <w:t>.</w:t>
      </w:r>
      <w:r w:rsidR="005F0DA9">
        <w:rPr>
          <w:rFonts w:ascii="Times New Roman" w:hAnsi="Times New Roman" w:cs="Times New Roman"/>
          <w:b/>
          <w:bCs/>
          <w:color w:val="000000" w:themeColor="text1"/>
          <w:sz w:val="24"/>
          <w:szCs w:val="24"/>
        </w:rPr>
        <w:t>5</w:t>
      </w:r>
      <w:r w:rsidR="00CE5B0F" w:rsidRPr="000F702A">
        <w:rPr>
          <w:rFonts w:ascii="Times New Roman" w:hAnsi="Times New Roman" w:cs="Times New Roman"/>
          <w:b/>
          <w:bCs/>
          <w:color w:val="000000" w:themeColor="text1"/>
          <w:sz w:val="24"/>
          <w:szCs w:val="24"/>
        </w:rPr>
        <w:t xml:space="preserve"> R</w:t>
      </w:r>
      <w:r w:rsidR="00CE5B0F" w:rsidRPr="000F702A">
        <w:rPr>
          <w:rFonts w:ascii="Times New Roman" w:hAnsi="Times New Roman" w:cs="Times New Roman"/>
          <w:b/>
          <w:bCs/>
          <w:color w:val="000000" w:themeColor="text1"/>
          <w:sz w:val="24"/>
          <w:szCs w:val="24"/>
          <w:vertAlign w:val="superscript"/>
        </w:rPr>
        <w:t>2</w:t>
      </w:r>
      <w:r w:rsidR="00CE5B0F" w:rsidRPr="000F702A">
        <w:rPr>
          <w:rFonts w:ascii="Times New Roman" w:hAnsi="Times New Roman" w:cs="Times New Roman"/>
          <w:b/>
          <w:bCs/>
          <w:color w:val="000000" w:themeColor="text1"/>
          <w:sz w:val="24"/>
          <w:szCs w:val="24"/>
        </w:rPr>
        <w:t xml:space="preserve"> Value</w:t>
      </w:r>
      <w:bookmarkEnd w:id="32"/>
      <w:bookmarkEnd w:id="33"/>
    </w:p>
    <w:p w14:paraId="61C61DE8" w14:textId="08764AF1" w:rsidR="00CE5B0F" w:rsidRDefault="00CE5B0F" w:rsidP="00CF1860">
      <w:pPr>
        <w:spacing w:line="360" w:lineRule="auto"/>
        <w:rPr>
          <w:b/>
          <w:bCs/>
          <w:u w:val="single"/>
        </w:rPr>
      </w:pPr>
    </w:p>
    <w:p w14:paraId="3D25A41E" w14:textId="2CFC5B2A" w:rsidR="00CE5B0F" w:rsidRDefault="00CE5B0F" w:rsidP="00CF1860">
      <w:pPr>
        <w:spacing w:line="360" w:lineRule="auto"/>
      </w:pPr>
      <w:r>
        <w:rPr>
          <w:b/>
          <w:bCs/>
        </w:rPr>
        <w:tab/>
      </w:r>
      <w:r>
        <w:t>The R</w:t>
      </w:r>
      <w:r>
        <w:rPr>
          <w:vertAlign w:val="superscript"/>
        </w:rPr>
        <w:t>2</w:t>
      </w:r>
      <w:r>
        <w:t xml:space="preserve"> value, or coefficient of </w:t>
      </w:r>
      <w:r w:rsidR="00F0687F">
        <w:t>determination, is</w:t>
      </w:r>
      <w:r>
        <w:t xml:space="preserve"> a very important measure in the field of </w:t>
      </w:r>
      <w:r w:rsidR="00F0687F">
        <w:t>statistics</w:t>
      </w:r>
      <w:r>
        <w:t>, and even more in regressions</w:t>
      </w:r>
      <w:r w:rsidR="00F0687F">
        <w:t>. R</w:t>
      </w:r>
      <w:r w:rsidR="00F0687F">
        <w:rPr>
          <w:vertAlign w:val="superscript"/>
        </w:rPr>
        <w:t>2</w:t>
      </w:r>
      <w:r w:rsidR="00F0687F">
        <w:t xml:space="preserve"> measures the percentage of the variation on the dependent variable, that can be explained by the predictor variables. Across the regression above, the R</w:t>
      </w:r>
      <w:r w:rsidR="00F0687F">
        <w:rPr>
          <w:vertAlign w:val="superscript"/>
        </w:rPr>
        <w:t>2</w:t>
      </w:r>
      <w:r w:rsidR="00F0687F">
        <w:t xml:space="preserve"> was rather low</w:t>
      </w:r>
      <w:r w:rsidR="00996DE8">
        <w:t>. In some studies, this can be an issue, however</w:t>
      </w:r>
      <w:r w:rsidR="002C6860">
        <w:t>,</w:t>
      </w:r>
      <w:r w:rsidR="00996DE8">
        <w:t xml:space="preserve"> it is not the case for ours. The goal of this paper is to research on whether any of the selected characteristics, ha</w:t>
      </w:r>
      <w:r w:rsidR="00B36C98">
        <w:t>s a clear association with</w:t>
      </w:r>
      <w:r w:rsidR="00996DE8">
        <w:t xml:space="preserve"> </w:t>
      </w:r>
      <w:proofErr w:type="spellStart"/>
      <w:r w:rsidR="00996DE8">
        <w:t>Fama</w:t>
      </w:r>
      <w:proofErr w:type="spellEnd"/>
      <w:r w:rsidR="00996DE8">
        <w:t xml:space="preserve">-French investors, and then build a profile accordingly. </w:t>
      </w:r>
      <w:r w:rsidR="00CF66E9">
        <w:t>The low R</w:t>
      </w:r>
      <w:r w:rsidR="00CF66E9">
        <w:rPr>
          <w:vertAlign w:val="superscript"/>
        </w:rPr>
        <w:t>2</w:t>
      </w:r>
      <w:r w:rsidR="00CF66E9">
        <w:t xml:space="preserve"> in the study implies that the variability of the predictions is larger, but the direction of the </w:t>
      </w:r>
      <w:r w:rsidR="002A5040">
        <w:t>association</w:t>
      </w:r>
      <w:r w:rsidR="00CF66E9">
        <w:t xml:space="preserve">, which is what is truly important, remains clear. Furthermore, it is important to keep in mind that </w:t>
      </w:r>
      <w:r w:rsidR="0012720E">
        <w:t>the driver for this paper are</w:t>
      </w:r>
      <w:r w:rsidR="00CF66E9">
        <w:t xml:space="preserve"> human behavior and </w:t>
      </w:r>
      <w:r w:rsidR="0012720E">
        <w:t xml:space="preserve">portfolio </w:t>
      </w:r>
      <w:r w:rsidR="00CF66E9">
        <w:t xml:space="preserve">choices, which </w:t>
      </w:r>
      <w:r w:rsidR="0012720E">
        <w:t>if anything can be said about them, is that they are remarkably variable.</w:t>
      </w:r>
    </w:p>
    <w:p w14:paraId="68421AD8" w14:textId="77777777" w:rsidR="00532822" w:rsidRDefault="00532822" w:rsidP="00CF1860">
      <w:pPr>
        <w:spacing w:line="360" w:lineRule="auto"/>
      </w:pPr>
    </w:p>
    <w:p w14:paraId="31028248" w14:textId="484CDF45" w:rsidR="008F1A9D" w:rsidRDefault="008F1A9D" w:rsidP="00CF1860">
      <w:pPr>
        <w:spacing w:line="360" w:lineRule="auto"/>
      </w:pPr>
    </w:p>
    <w:p w14:paraId="481E2F1C" w14:textId="1191BBF0" w:rsidR="008F1A9D" w:rsidRPr="008F1A9D" w:rsidRDefault="008F1A9D" w:rsidP="008F1A9D">
      <w:pPr>
        <w:pStyle w:val="Heading2"/>
        <w:rPr>
          <w:rFonts w:ascii="Times New Roman" w:hAnsi="Times New Roman" w:cs="Times New Roman"/>
          <w:b/>
          <w:bCs/>
          <w:color w:val="auto"/>
          <w:sz w:val="24"/>
          <w:szCs w:val="24"/>
        </w:rPr>
      </w:pPr>
      <w:bookmarkStart w:id="34" w:name="_Toc103963058"/>
      <w:r w:rsidRPr="008F1A9D">
        <w:rPr>
          <w:rFonts w:ascii="Times New Roman" w:hAnsi="Times New Roman" w:cs="Times New Roman"/>
          <w:b/>
          <w:bCs/>
          <w:color w:val="auto"/>
          <w:sz w:val="24"/>
          <w:szCs w:val="24"/>
        </w:rPr>
        <w:t>4.</w:t>
      </w:r>
      <w:r w:rsidR="009F6CAE">
        <w:rPr>
          <w:rFonts w:ascii="Times New Roman" w:hAnsi="Times New Roman" w:cs="Times New Roman"/>
          <w:b/>
          <w:bCs/>
          <w:color w:val="auto"/>
          <w:sz w:val="24"/>
          <w:szCs w:val="24"/>
        </w:rPr>
        <w:t>6</w:t>
      </w:r>
      <w:r w:rsidRPr="008F1A9D">
        <w:rPr>
          <w:rFonts w:ascii="Times New Roman" w:hAnsi="Times New Roman" w:cs="Times New Roman"/>
          <w:b/>
          <w:bCs/>
          <w:color w:val="auto"/>
          <w:sz w:val="24"/>
          <w:szCs w:val="24"/>
        </w:rPr>
        <w:t xml:space="preserve"> Limitation</w:t>
      </w:r>
      <w:bookmarkEnd w:id="34"/>
    </w:p>
    <w:p w14:paraId="5ACE3091" w14:textId="332A0EC8" w:rsidR="008F1A9D" w:rsidRDefault="008F1A9D" w:rsidP="008F1A9D"/>
    <w:p w14:paraId="7D523788" w14:textId="67ECBE42" w:rsidR="008F1A9D" w:rsidRPr="008F1A9D" w:rsidRDefault="008F1A9D" w:rsidP="008F1A9D">
      <w:pPr>
        <w:spacing w:line="360" w:lineRule="auto"/>
        <w:ind w:firstLine="720"/>
      </w:pPr>
      <w:r>
        <w:t xml:space="preserve">After the </w:t>
      </w:r>
      <w:r w:rsidR="00532822">
        <w:t>string-matching</w:t>
      </w:r>
      <w:r>
        <w:t xml:space="preserve"> process, we discussed a trade-off between sample size and accuracy. Given that we decided to go with the accuracy path, the limitation of this study resides in the sample size. This </w:t>
      </w:r>
      <w:r w:rsidR="00DB2A7D">
        <w:t>reflects</w:t>
      </w:r>
      <w:r>
        <w:t xml:space="preserve"> </w:t>
      </w:r>
      <w:r w:rsidR="00DB2A7D">
        <w:t>on</w:t>
      </w:r>
      <w:r>
        <w:t xml:space="preserve"> the results above, there is the possibility that with a larger sample size we could have found </w:t>
      </w:r>
      <w:r w:rsidR="00DB2A7D">
        <w:t>more</w:t>
      </w:r>
      <w:r>
        <w:t xml:space="preserve"> of the variables in the regressions to be significant, although this is not a given. However, if we expanded the data by accepting a lower </w:t>
      </w:r>
      <w:proofErr w:type="spellStart"/>
      <w:r>
        <w:t>Levenshtein</w:t>
      </w:r>
      <w:proofErr w:type="spellEnd"/>
      <w:r>
        <w:t xml:space="preserve"> ratio, we could have attributed wrong stocks to the investors. A potential solution for the limitation in our research</w:t>
      </w:r>
      <w:r w:rsidR="00DB2A7D">
        <w:t>,</w:t>
      </w:r>
      <w:r>
        <w:t xml:space="preserve"> could be to maintain our small sample, but to use a different statistical approach such as Bayesian methods, that is, assuming that we could prove a good prior probability distribution, in our case, probability distribution of </w:t>
      </w:r>
      <w:r>
        <w:rPr>
          <w:i/>
          <w:iCs/>
        </w:rPr>
        <w:t xml:space="preserve">variable </w:t>
      </w:r>
      <w:r>
        <w:t xml:space="preserve">investing in the long leg of the </w:t>
      </w:r>
      <w:proofErr w:type="spellStart"/>
      <w:r>
        <w:t>Fama</w:t>
      </w:r>
      <w:proofErr w:type="spellEnd"/>
      <w:r>
        <w:t>-French factor.</w:t>
      </w:r>
    </w:p>
    <w:p w14:paraId="6F85DBE8" w14:textId="77777777" w:rsidR="008F1A9D" w:rsidRPr="008F1A9D" w:rsidRDefault="008F1A9D" w:rsidP="008F1A9D"/>
    <w:p w14:paraId="2997E54A" w14:textId="77777777" w:rsidR="00BA2D36" w:rsidRPr="00865A73" w:rsidRDefault="00BA2D36" w:rsidP="00CF1860">
      <w:pPr>
        <w:spacing w:line="360" w:lineRule="auto"/>
      </w:pPr>
    </w:p>
    <w:p w14:paraId="3E56FD70" w14:textId="46F40E43" w:rsidR="009C43D2" w:rsidRDefault="009C43D2" w:rsidP="00CF1860">
      <w:pPr>
        <w:spacing w:line="360" w:lineRule="auto"/>
      </w:pPr>
    </w:p>
    <w:p w14:paraId="1BD407E5" w14:textId="77777777" w:rsidR="00E0295D" w:rsidRDefault="00E0295D" w:rsidP="00CF1860">
      <w:pPr>
        <w:spacing w:line="360" w:lineRule="auto"/>
      </w:pPr>
    </w:p>
    <w:p w14:paraId="472F20ED" w14:textId="760EEECC" w:rsidR="009C43D2" w:rsidRDefault="009C43D2" w:rsidP="00CF1860">
      <w:pPr>
        <w:spacing w:line="360" w:lineRule="auto"/>
      </w:pPr>
    </w:p>
    <w:p w14:paraId="35EC0BFC" w14:textId="3B949066" w:rsidR="009C43D2" w:rsidRDefault="009C43D2" w:rsidP="00CF1860">
      <w:pPr>
        <w:spacing w:line="360" w:lineRule="auto"/>
      </w:pPr>
    </w:p>
    <w:p w14:paraId="4D746854" w14:textId="05D33F1A" w:rsidR="009C43D2" w:rsidRDefault="009C43D2" w:rsidP="00CF1860">
      <w:pPr>
        <w:spacing w:line="360" w:lineRule="auto"/>
      </w:pPr>
    </w:p>
    <w:p w14:paraId="14288118" w14:textId="70ED357B" w:rsidR="009C43D2" w:rsidRDefault="009C43D2" w:rsidP="00CF1860">
      <w:pPr>
        <w:spacing w:line="360" w:lineRule="auto"/>
      </w:pPr>
    </w:p>
    <w:p w14:paraId="67D2C2AB" w14:textId="77777777" w:rsidR="000E3083" w:rsidRDefault="000E3083" w:rsidP="009D5647">
      <w:pPr>
        <w:spacing w:line="360" w:lineRule="auto"/>
        <w:jc w:val="center"/>
        <w:rPr>
          <w:b/>
          <w:bCs/>
        </w:rPr>
      </w:pPr>
    </w:p>
    <w:p w14:paraId="4ADC2781" w14:textId="4794950B" w:rsidR="000A6E41" w:rsidRPr="000F702A" w:rsidRDefault="000A6E41" w:rsidP="000F702A">
      <w:pPr>
        <w:pStyle w:val="Heading1"/>
        <w:rPr>
          <w:rFonts w:ascii="Times New Roman" w:hAnsi="Times New Roman" w:cs="Times New Roman"/>
          <w:b/>
          <w:bCs/>
          <w:color w:val="000000" w:themeColor="text1"/>
          <w:sz w:val="24"/>
          <w:szCs w:val="24"/>
          <w:u w:val="single"/>
        </w:rPr>
      </w:pPr>
      <w:bookmarkStart w:id="35" w:name="_Toc102301216"/>
      <w:bookmarkStart w:id="36" w:name="_Toc103963059"/>
      <w:r w:rsidRPr="000F702A">
        <w:rPr>
          <w:rFonts w:ascii="Times New Roman" w:hAnsi="Times New Roman" w:cs="Times New Roman"/>
          <w:b/>
          <w:bCs/>
          <w:color w:val="000000" w:themeColor="text1"/>
          <w:sz w:val="24"/>
          <w:szCs w:val="24"/>
          <w:u w:val="single"/>
        </w:rPr>
        <w:lastRenderedPageBreak/>
        <w:t>5. Conclusion</w:t>
      </w:r>
      <w:r w:rsidR="00CB4342" w:rsidRPr="000F702A">
        <w:rPr>
          <w:rFonts w:ascii="Times New Roman" w:hAnsi="Times New Roman" w:cs="Times New Roman"/>
          <w:b/>
          <w:bCs/>
          <w:color w:val="000000" w:themeColor="text1"/>
          <w:sz w:val="24"/>
          <w:szCs w:val="24"/>
          <w:u w:val="single"/>
        </w:rPr>
        <w:t xml:space="preserve"> &amp; Recommendation</w:t>
      </w:r>
      <w:bookmarkEnd w:id="35"/>
      <w:bookmarkEnd w:id="36"/>
    </w:p>
    <w:p w14:paraId="537C8E78" w14:textId="3E1154E4" w:rsidR="000A6E41" w:rsidRDefault="000A6E41" w:rsidP="009D5647">
      <w:pPr>
        <w:spacing w:line="360" w:lineRule="auto"/>
        <w:jc w:val="center"/>
        <w:rPr>
          <w:b/>
          <w:bCs/>
        </w:rPr>
      </w:pPr>
    </w:p>
    <w:p w14:paraId="39F28512" w14:textId="24F8FE01" w:rsidR="00C76129" w:rsidRPr="000F702A" w:rsidRDefault="00C76129" w:rsidP="000F702A">
      <w:pPr>
        <w:pStyle w:val="Heading2"/>
        <w:rPr>
          <w:rFonts w:ascii="Times New Roman" w:hAnsi="Times New Roman" w:cs="Times New Roman"/>
          <w:b/>
          <w:bCs/>
          <w:color w:val="000000" w:themeColor="text1"/>
          <w:sz w:val="24"/>
          <w:szCs w:val="24"/>
        </w:rPr>
      </w:pPr>
      <w:bookmarkStart w:id="37" w:name="_Toc102301217"/>
      <w:bookmarkStart w:id="38" w:name="_Toc103963060"/>
      <w:r w:rsidRPr="000F702A">
        <w:rPr>
          <w:rFonts w:ascii="Times New Roman" w:hAnsi="Times New Roman" w:cs="Times New Roman"/>
          <w:b/>
          <w:bCs/>
          <w:color w:val="000000" w:themeColor="text1"/>
          <w:sz w:val="24"/>
          <w:szCs w:val="24"/>
        </w:rPr>
        <w:t>5.1 Conclusion</w:t>
      </w:r>
      <w:bookmarkEnd w:id="37"/>
      <w:bookmarkEnd w:id="38"/>
    </w:p>
    <w:p w14:paraId="7F353890" w14:textId="37C7E21A" w:rsidR="00C76129" w:rsidRDefault="00C76129" w:rsidP="00C76129">
      <w:pPr>
        <w:spacing w:line="360" w:lineRule="auto"/>
        <w:rPr>
          <w:b/>
          <w:bCs/>
        </w:rPr>
      </w:pPr>
    </w:p>
    <w:p w14:paraId="0A39C79B" w14:textId="0620ECE0" w:rsidR="00C76129" w:rsidRDefault="00C76129" w:rsidP="00C76129">
      <w:pPr>
        <w:spacing w:line="360" w:lineRule="auto"/>
      </w:pPr>
      <w:r>
        <w:tab/>
        <w:t>Now that we have the results for the empirical study, it is time to look back on our hypothes</w:t>
      </w:r>
      <w:r w:rsidR="005F797C">
        <w:t>is</w:t>
      </w:r>
      <w:r>
        <w:t xml:space="preserve"> from chapter 2, and evaluate if they correspond to our findings.</w:t>
      </w:r>
    </w:p>
    <w:p w14:paraId="2BDB5781" w14:textId="18B8CD27" w:rsidR="00C76129" w:rsidRDefault="00C76129" w:rsidP="00C76129">
      <w:pPr>
        <w:spacing w:line="360" w:lineRule="auto"/>
      </w:pPr>
    </w:p>
    <w:p w14:paraId="04A30A1E" w14:textId="60871337" w:rsidR="00C76129" w:rsidRPr="009C793F" w:rsidRDefault="005C1FD3" w:rsidP="00C76129">
      <w:pPr>
        <w:spacing w:line="360" w:lineRule="auto"/>
        <w:rPr>
          <w:b/>
          <w:bCs/>
        </w:rPr>
      </w:pPr>
      <w:r>
        <w:t>The</w:t>
      </w:r>
      <w:r w:rsidR="00C76129">
        <w:t xml:space="preserve"> hypothesis consisted on our expectations for the </w:t>
      </w:r>
      <w:proofErr w:type="spellStart"/>
      <w:r>
        <w:t>Fama</w:t>
      </w:r>
      <w:proofErr w:type="spellEnd"/>
      <w:r>
        <w:t xml:space="preserve">-French investor profile. Based on the available literature and driven by the </w:t>
      </w:r>
      <w:r w:rsidR="005F797C">
        <w:t xml:space="preserve">relation of the risk bearing capacity theory developed by </w:t>
      </w:r>
      <w:proofErr w:type="spellStart"/>
      <w:r w:rsidR="005F797C">
        <w:t>Be</w:t>
      </w:r>
      <w:r w:rsidR="00C5480D">
        <w:t>termier</w:t>
      </w:r>
      <w:proofErr w:type="spellEnd"/>
      <w:r w:rsidR="00C5480D">
        <w:t xml:space="preserve"> et al (2017)</w:t>
      </w:r>
      <w:r>
        <w:t xml:space="preserve"> </w:t>
      </w:r>
      <w:r w:rsidR="00C5480D">
        <w:t xml:space="preserve">and the </w:t>
      </w:r>
      <w:r w:rsidR="00AA1E69">
        <w:t>risk-taking</w:t>
      </w:r>
      <w:r w:rsidR="00C5480D">
        <w:t xml:space="preserve"> theories</w:t>
      </w:r>
      <w:r>
        <w:t xml:space="preserve"> described in conventional economics, we expected the profile</w:t>
      </w:r>
      <w:r w:rsidR="002C6860">
        <w:t xml:space="preserve"> of </w:t>
      </w:r>
      <w:proofErr w:type="spellStart"/>
      <w:r w:rsidR="002C6860">
        <w:t>Fama</w:t>
      </w:r>
      <w:proofErr w:type="spellEnd"/>
      <w:r w:rsidR="002C6860">
        <w:t>-French investor</w:t>
      </w:r>
      <w:r>
        <w:t xml:space="preserve"> to b</w:t>
      </w:r>
      <w:r w:rsidRPr="005C1FD3">
        <w:t xml:space="preserve">e </w:t>
      </w:r>
      <w:r w:rsidR="00C5480D">
        <w:t xml:space="preserve">an older, wealthy, university-educated male, with high income, partner, and owning his accommodation. </w:t>
      </w:r>
      <w:r>
        <w:t>The results, did support this hypothesis</w:t>
      </w:r>
      <w:r w:rsidR="00C5480D">
        <w:t xml:space="preserve"> on its majority.</w:t>
      </w:r>
      <w:r w:rsidR="001C3F09">
        <w:t xml:space="preserve"> </w:t>
      </w:r>
      <w:r w:rsidR="003007BC">
        <w:t>One</w:t>
      </w:r>
      <w:r w:rsidR="001C3F09">
        <w:t xml:space="preserve"> of our main findings is that we </w:t>
      </w:r>
      <w:r w:rsidR="003007BC">
        <w:t>reaffirm</w:t>
      </w:r>
      <w:r w:rsidR="001C3F09">
        <w:t xml:space="preserve"> the results from </w:t>
      </w:r>
      <w:proofErr w:type="spellStart"/>
      <w:r w:rsidR="001C3F09">
        <w:t>Betermier</w:t>
      </w:r>
      <w:proofErr w:type="spellEnd"/>
      <w:r w:rsidR="001C3F09">
        <w:t xml:space="preserve"> et al, proving th</w:t>
      </w:r>
      <w:r w:rsidR="003007BC">
        <w:t>at</w:t>
      </w:r>
      <w:r w:rsidR="001C3F09">
        <w:t xml:space="preserve"> wealthier investors are more prone to have value companies with conservative investing patterns in </w:t>
      </w:r>
      <w:r w:rsidR="00AA1E69">
        <w:t>their portfolios</w:t>
      </w:r>
      <w:r w:rsidR="001C3F09">
        <w:t>. In addition,</w:t>
      </w:r>
      <w:r w:rsidR="00C5480D">
        <w:t xml:space="preserve"> </w:t>
      </w:r>
      <w:r w:rsidR="001C3F09">
        <w:t>c</w:t>
      </w:r>
      <w:r w:rsidR="00C5480D">
        <w:t xml:space="preserve">ontrary to our expectations, it was the women who mostly overweighted their portfolio towards the long leg of the </w:t>
      </w:r>
      <w:proofErr w:type="spellStart"/>
      <w:r w:rsidR="00C5480D">
        <w:t>Fama</w:t>
      </w:r>
      <w:proofErr w:type="spellEnd"/>
      <w:r w:rsidR="00C5480D">
        <w:t xml:space="preserve">-French model. Moreover, compared to owners, those who did not own their accommodation seemed to tilt their investments to the long leg of the model. </w:t>
      </w:r>
    </w:p>
    <w:p w14:paraId="66832157" w14:textId="1F8EB06C" w:rsidR="00BB2B9F" w:rsidRDefault="00BB2B9F" w:rsidP="00C76129">
      <w:pPr>
        <w:spacing w:line="360" w:lineRule="auto"/>
      </w:pPr>
    </w:p>
    <w:p w14:paraId="4012D94E" w14:textId="7442CA0A" w:rsidR="00F95E8D" w:rsidRDefault="00F95E8D" w:rsidP="00C76129">
      <w:pPr>
        <w:spacing w:line="360" w:lineRule="auto"/>
      </w:pPr>
      <w:r>
        <w:t xml:space="preserve">Furthermore, assuming that the Brealey and Myers (1981) findings on risk and return can be applied to this setting, we would expect that given that the long leg of the </w:t>
      </w:r>
      <w:proofErr w:type="spellStart"/>
      <w:r>
        <w:t>Fama</w:t>
      </w:r>
      <w:proofErr w:type="spellEnd"/>
      <w:r>
        <w:t>-French model has higher returns</w:t>
      </w:r>
      <w:r w:rsidR="0084086B">
        <w:t xml:space="preserve"> and overperforms the market</w:t>
      </w:r>
      <w:r>
        <w:t>, it would, in the same fashion, imply higher risks. D</w:t>
      </w:r>
      <w:r w:rsidR="00AC2C9F">
        <w:t>erived from the empirical study results, it is difficult to say whether the long leg does, in fact, imply higher</w:t>
      </w:r>
      <w:r w:rsidR="0084086B">
        <w:t xml:space="preserve"> perceived</w:t>
      </w:r>
      <w:r w:rsidR="00AC2C9F">
        <w:t xml:space="preserve"> risk, however, </w:t>
      </w:r>
      <w:r w:rsidR="0084086B">
        <w:t xml:space="preserve">given the results the resulting </w:t>
      </w:r>
      <w:proofErr w:type="spellStart"/>
      <w:r w:rsidR="0084086B">
        <w:t>Fama</w:t>
      </w:r>
      <w:proofErr w:type="spellEnd"/>
      <w:r w:rsidR="0084086B">
        <w:t xml:space="preserve">-French investor -a wealthy, older, university-educated women, who do not own their accommodation- can be judged as having a </w:t>
      </w:r>
      <w:proofErr w:type="gramStart"/>
      <w:r w:rsidR="0084086B">
        <w:t>high risk</w:t>
      </w:r>
      <w:proofErr w:type="gramEnd"/>
      <w:r w:rsidR="0084086B">
        <w:t xml:space="preserve"> bearing capacity.</w:t>
      </w:r>
    </w:p>
    <w:p w14:paraId="34DF88C4" w14:textId="7E8E9739" w:rsidR="007E2BB2" w:rsidRDefault="007E2BB2" w:rsidP="00C76129">
      <w:pPr>
        <w:spacing w:line="360" w:lineRule="auto"/>
      </w:pPr>
    </w:p>
    <w:p w14:paraId="7BA9C11E" w14:textId="2B6603DF" w:rsidR="0084086B" w:rsidRPr="001C3F09" w:rsidRDefault="00BB2734" w:rsidP="00C76129">
      <w:pPr>
        <w:spacing w:line="360" w:lineRule="auto"/>
      </w:pPr>
      <w:r>
        <w:t xml:space="preserve">If we </w:t>
      </w:r>
      <w:r w:rsidR="001D09A3">
        <w:t xml:space="preserve">uniquely focused on the </w:t>
      </w:r>
      <w:proofErr w:type="spellStart"/>
      <w:r w:rsidR="001D09A3">
        <w:t>Fama</w:t>
      </w:r>
      <w:proofErr w:type="spellEnd"/>
      <w:r w:rsidR="001D09A3">
        <w:t xml:space="preserve">-French five factor model as the financial performance measure, it would then be fair to claim older university-educated </w:t>
      </w:r>
      <w:r w:rsidR="009C793F">
        <w:t xml:space="preserve">wealthier </w:t>
      </w:r>
      <w:r w:rsidR="001D09A3">
        <w:t xml:space="preserve">women, </w:t>
      </w:r>
      <w:r w:rsidR="00F20EDD">
        <w:t>who do</w:t>
      </w:r>
      <w:r w:rsidR="001D09A3">
        <w:t xml:space="preserve"> </w:t>
      </w:r>
      <w:r w:rsidR="0084086B">
        <w:t>not own</w:t>
      </w:r>
      <w:r w:rsidR="001D09A3">
        <w:t xml:space="preserve"> their </w:t>
      </w:r>
      <w:r w:rsidR="001E3905">
        <w:t>accommodation</w:t>
      </w:r>
      <w:r w:rsidR="001D09A3">
        <w:t>, as the best investors in The Netherlands, based on the results for this study, and the academic literature that describes the long leg of the 2015 model.</w:t>
      </w:r>
    </w:p>
    <w:p w14:paraId="1DE8C7C1" w14:textId="77777777" w:rsidR="0084086B" w:rsidRDefault="0084086B" w:rsidP="00C76129">
      <w:pPr>
        <w:spacing w:line="360" w:lineRule="auto"/>
        <w:rPr>
          <w:b/>
          <w:bCs/>
        </w:rPr>
      </w:pPr>
    </w:p>
    <w:p w14:paraId="773FD180" w14:textId="3A2B2A0D" w:rsidR="00C76129" w:rsidRPr="000F702A" w:rsidRDefault="00C76129" w:rsidP="000F702A">
      <w:pPr>
        <w:pStyle w:val="Heading2"/>
        <w:rPr>
          <w:rFonts w:ascii="Times New Roman" w:hAnsi="Times New Roman" w:cs="Times New Roman"/>
          <w:b/>
          <w:bCs/>
          <w:color w:val="000000" w:themeColor="text1"/>
          <w:sz w:val="24"/>
          <w:szCs w:val="24"/>
        </w:rPr>
      </w:pPr>
      <w:bookmarkStart w:id="39" w:name="_Toc102301218"/>
      <w:bookmarkStart w:id="40" w:name="_Toc103963061"/>
      <w:r w:rsidRPr="000F702A">
        <w:rPr>
          <w:rFonts w:ascii="Times New Roman" w:hAnsi="Times New Roman" w:cs="Times New Roman"/>
          <w:b/>
          <w:bCs/>
          <w:color w:val="000000" w:themeColor="text1"/>
          <w:sz w:val="24"/>
          <w:szCs w:val="24"/>
        </w:rPr>
        <w:lastRenderedPageBreak/>
        <w:t>5.2 Recommendation</w:t>
      </w:r>
      <w:bookmarkEnd w:id="39"/>
      <w:bookmarkEnd w:id="40"/>
    </w:p>
    <w:p w14:paraId="00088B0A" w14:textId="62CAAA50" w:rsidR="000A6E41" w:rsidRDefault="000A6E41" w:rsidP="009D5647">
      <w:pPr>
        <w:spacing w:line="360" w:lineRule="auto"/>
        <w:jc w:val="center"/>
        <w:rPr>
          <w:b/>
          <w:bCs/>
        </w:rPr>
      </w:pPr>
    </w:p>
    <w:p w14:paraId="13F4BB4C" w14:textId="031E96DE" w:rsidR="000A6E41" w:rsidRDefault="001E3905" w:rsidP="001E3905">
      <w:pPr>
        <w:spacing w:line="360" w:lineRule="auto"/>
      </w:pPr>
      <w:r>
        <w:rPr>
          <w:b/>
          <w:bCs/>
        </w:rPr>
        <w:tab/>
      </w:r>
      <w:r w:rsidR="00067BB3">
        <w:t>We can affirm that our results are relevant to The Netherlands, however, it would be interesting to convey further research on other countries, especially in those with a non-western culture. Consequently, it would be possible to compare the results and see if our profile can</w:t>
      </w:r>
      <w:r w:rsidR="007E2D6C">
        <w:t xml:space="preserve"> be</w:t>
      </w:r>
      <w:r w:rsidR="00067BB3">
        <w:t xml:space="preserve"> </w:t>
      </w:r>
      <w:r w:rsidR="007E2D6C">
        <w:t>generalized</w:t>
      </w:r>
      <w:r w:rsidR="00067BB3">
        <w:t xml:space="preserve"> to the rest of the world. If this was not the case, then this</w:t>
      </w:r>
      <w:r w:rsidR="007E2D6C">
        <w:t xml:space="preserve"> could open the door to further work on public policy on the other countries to try to uprise financial performance among women. </w:t>
      </w:r>
    </w:p>
    <w:p w14:paraId="478E8064" w14:textId="40E04995" w:rsidR="007E2D6C" w:rsidRDefault="007E2D6C" w:rsidP="001E3905">
      <w:pPr>
        <w:spacing w:line="360" w:lineRule="auto"/>
      </w:pPr>
    </w:p>
    <w:p w14:paraId="7773AE05" w14:textId="476AA7A5" w:rsidR="007E2D6C" w:rsidRDefault="007E2D6C" w:rsidP="001E3905">
      <w:pPr>
        <w:spacing w:line="360" w:lineRule="auto"/>
      </w:pPr>
      <w:r>
        <w:t xml:space="preserve">Moreover, as mentioned during the </w:t>
      </w:r>
      <w:r w:rsidR="00DF7CA7">
        <w:t>hypothesis development</w:t>
      </w:r>
      <w:r>
        <w:t xml:space="preserve">, we believe that the selected variables form a rather complete picture of each one of the respondents. </w:t>
      </w:r>
      <w:r w:rsidR="00431A23">
        <w:t>However, we do not close the door to carry out research on the same topic adding new variables and characteristics. For example, it would have been interesting to include</w:t>
      </w:r>
      <w:r w:rsidR="00DF7CA7">
        <w:t>, if it existed,</w:t>
      </w:r>
      <w:r w:rsidR="00431A23">
        <w:t xml:space="preserve"> a variable explicitly describing the risk tolerance of each individual in order to be able certainly declare a risk perception for the long leg of the </w:t>
      </w:r>
      <w:proofErr w:type="spellStart"/>
      <w:r w:rsidR="00431A23">
        <w:t>Fama</w:t>
      </w:r>
      <w:proofErr w:type="spellEnd"/>
      <w:r w:rsidR="00431A23">
        <w:t>-French model.</w:t>
      </w:r>
    </w:p>
    <w:p w14:paraId="3492B8AD" w14:textId="7BC397CA" w:rsidR="00431A23" w:rsidRDefault="00431A23" w:rsidP="001E3905">
      <w:pPr>
        <w:spacing w:line="360" w:lineRule="auto"/>
      </w:pPr>
    </w:p>
    <w:p w14:paraId="43DE5DF4" w14:textId="632F958C" w:rsidR="001B6C64" w:rsidRDefault="001B6C64" w:rsidP="001E3905">
      <w:pPr>
        <w:spacing w:line="360" w:lineRule="auto"/>
      </w:pPr>
      <w:r>
        <w:t xml:space="preserve">Our last recommendation is directed towards the private sector, more specifically to asset management firms, and particular investors. </w:t>
      </w:r>
      <w:r w:rsidR="00763458">
        <w:t>Despite the fact that</w:t>
      </w:r>
      <w:r>
        <w:t xml:space="preserve"> effort is being made on closing the gender gap in </w:t>
      </w:r>
      <w:r w:rsidR="00763458">
        <w:t>the asset management industry, women are still underrepresented as a fraction of public fund managers, representing only the 11% (Morningstar, 2021).</w:t>
      </w:r>
      <w:r w:rsidR="007B6BA9">
        <w:t xml:space="preserve"> Consequently, </w:t>
      </w:r>
      <w:r w:rsidR="00F21E5D">
        <w:t xml:space="preserve">given our results of women overperforming the market, </w:t>
      </w:r>
      <w:r w:rsidR="007B6BA9">
        <w:t>having equal representation on asset management would not only benefit women, but also the investors that they are representing.</w:t>
      </w:r>
    </w:p>
    <w:p w14:paraId="67672985" w14:textId="7BB0C547" w:rsidR="000A6E41" w:rsidRDefault="000A6E41" w:rsidP="001E3905">
      <w:pPr>
        <w:spacing w:line="360" w:lineRule="auto"/>
        <w:rPr>
          <w:b/>
          <w:bCs/>
        </w:rPr>
      </w:pPr>
    </w:p>
    <w:p w14:paraId="478D3F8F" w14:textId="10CC3A14" w:rsidR="000A6E41" w:rsidRDefault="000A6E41" w:rsidP="009D5647">
      <w:pPr>
        <w:spacing w:line="360" w:lineRule="auto"/>
        <w:jc w:val="center"/>
        <w:rPr>
          <w:b/>
          <w:bCs/>
        </w:rPr>
      </w:pPr>
    </w:p>
    <w:p w14:paraId="05DCBEAD" w14:textId="008BA92D" w:rsidR="000A6E41" w:rsidRDefault="000A6E41" w:rsidP="009D5647">
      <w:pPr>
        <w:spacing w:line="360" w:lineRule="auto"/>
        <w:jc w:val="center"/>
        <w:rPr>
          <w:b/>
          <w:bCs/>
        </w:rPr>
      </w:pPr>
    </w:p>
    <w:p w14:paraId="30D74A18" w14:textId="59641D73" w:rsidR="000A6E41" w:rsidRDefault="000A6E41" w:rsidP="00CB4342">
      <w:pPr>
        <w:spacing w:line="360" w:lineRule="auto"/>
        <w:rPr>
          <w:b/>
          <w:bCs/>
        </w:rPr>
      </w:pPr>
    </w:p>
    <w:p w14:paraId="204864AC" w14:textId="77777777" w:rsidR="00F53913" w:rsidRDefault="00F53913" w:rsidP="000F702A">
      <w:pPr>
        <w:pStyle w:val="Heading1"/>
        <w:rPr>
          <w:rFonts w:ascii="Times New Roman" w:hAnsi="Times New Roman" w:cs="Times New Roman"/>
          <w:b/>
          <w:bCs/>
          <w:color w:val="000000" w:themeColor="text1"/>
          <w:sz w:val="24"/>
          <w:szCs w:val="24"/>
        </w:rPr>
      </w:pPr>
      <w:bookmarkStart w:id="41" w:name="_Toc102301219"/>
    </w:p>
    <w:p w14:paraId="164D56B6" w14:textId="77777777" w:rsidR="00F53913" w:rsidRDefault="00F53913" w:rsidP="000F702A">
      <w:pPr>
        <w:pStyle w:val="Heading1"/>
        <w:rPr>
          <w:rFonts w:ascii="Times New Roman" w:hAnsi="Times New Roman" w:cs="Times New Roman"/>
          <w:b/>
          <w:bCs/>
          <w:color w:val="000000" w:themeColor="text1"/>
          <w:sz w:val="24"/>
          <w:szCs w:val="24"/>
        </w:rPr>
      </w:pPr>
    </w:p>
    <w:p w14:paraId="44D6805B" w14:textId="740704E9" w:rsidR="00F53913" w:rsidRDefault="00F53913" w:rsidP="000F702A">
      <w:pPr>
        <w:pStyle w:val="Heading1"/>
        <w:rPr>
          <w:rFonts w:ascii="Times New Roman" w:hAnsi="Times New Roman" w:cs="Times New Roman"/>
          <w:b/>
          <w:bCs/>
          <w:color w:val="000000" w:themeColor="text1"/>
          <w:sz w:val="24"/>
          <w:szCs w:val="24"/>
        </w:rPr>
      </w:pPr>
    </w:p>
    <w:p w14:paraId="4C546763" w14:textId="5D0F2DD6" w:rsidR="00F53913" w:rsidRDefault="00F53913" w:rsidP="00F53913"/>
    <w:p w14:paraId="2A5E41A9" w14:textId="7D09BED7" w:rsidR="00F53913" w:rsidRDefault="00F53913" w:rsidP="00F53913"/>
    <w:p w14:paraId="79EB4520" w14:textId="77777777" w:rsidR="00F53913" w:rsidRPr="00F53913" w:rsidRDefault="00F53913" w:rsidP="00F53913"/>
    <w:p w14:paraId="3ABB1596" w14:textId="642399F7" w:rsidR="00816EFA" w:rsidRPr="000F702A" w:rsidRDefault="00816EFA" w:rsidP="000F702A">
      <w:pPr>
        <w:pStyle w:val="Heading1"/>
        <w:rPr>
          <w:rFonts w:ascii="Times New Roman" w:hAnsi="Times New Roman" w:cs="Times New Roman"/>
          <w:b/>
          <w:bCs/>
          <w:color w:val="000000" w:themeColor="text1"/>
          <w:sz w:val="24"/>
          <w:szCs w:val="24"/>
        </w:rPr>
      </w:pPr>
      <w:bookmarkStart w:id="42" w:name="_Toc103963062"/>
      <w:r w:rsidRPr="000F702A">
        <w:rPr>
          <w:rFonts w:ascii="Times New Roman" w:hAnsi="Times New Roman" w:cs="Times New Roman"/>
          <w:b/>
          <w:bCs/>
          <w:color w:val="000000" w:themeColor="text1"/>
          <w:sz w:val="24"/>
          <w:szCs w:val="24"/>
        </w:rPr>
        <w:lastRenderedPageBreak/>
        <w:t>References</w:t>
      </w:r>
      <w:bookmarkEnd w:id="41"/>
      <w:bookmarkEnd w:id="42"/>
    </w:p>
    <w:p w14:paraId="48D1967D" w14:textId="6E4CC5F1" w:rsidR="00156C43" w:rsidRDefault="00156C43" w:rsidP="00190652">
      <w:pPr>
        <w:spacing w:line="276" w:lineRule="auto"/>
        <w:rPr>
          <w:color w:val="000000" w:themeColor="text1"/>
        </w:rPr>
      </w:pPr>
    </w:p>
    <w:p w14:paraId="3BAB6077" w14:textId="0F75EF6C" w:rsidR="007B6BA9" w:rsidRPr="00E3535F" w:rsidRDefault="007B6BA9" w:rsidP="00190652">
      <w:pPr>
        <w:spacing w:line="276" w:lineRule="auto"/>
        <w:rPr>
          <w:color w:val="000000" w:themeColor="text1"/>
        </w:rPr>
      </w:pPr>
      <w:proofErr w:type="spellStart"/>
      <w:r w:rsidRPr="00E3535F">
        <w:rPr>
          <w:color w:val="000000" w:themeColor="text1"/>
        </w:rPr>
        <w:t>Alladi</w:t>
      </w:r>
      <w:proofErr w:type="spellEnd"/>
      <w:r w:rsidRPr="00E3535F">
        <w:rPr>
          <w:color w:val="000000" w:themeColor="text1"/>
        </w:rPr>
        <w:t xml:space="preserve">, A., &amp; </w:t>
      </w:r>
      <w:proofErr w:type="spellStart"/>
      <w:r w:rsidRPr="00E3535F">
        <w:rPr>
          <w:color w:val="000000" w:themeColor="text1"/>
        </w:rPr>
        <w:t>Dibenedetto</w:t>
      </w:r>
      <w:proofErr w:type="spellEnd"/>
      <w:r w:rsidRPr="00E3535F">
        <w:rPr>
          <w:color w:val="000000" w:themeColor="text1"/>
        </w:rPr>
        <w:t>, G. (2021, March 16). </w:t>
      </w:r>
      <w:r w:rsidRPr="00E3535F">
        <w:rPr>
          <w:i/>
          <w:iCs/>
          <w:color w:val="000000" w:themeColor="text1"/>
        </w:rPr>
        <w:t>The percentage of U.S. female fund managers is exactly where it was in 2000</w:t>
      </w:r>
      <w:r w:rsidRPr="00E3535F">
        <w:rPr>
          <w:color w:val="000000" w:themeColor="text1"/>
        </w:rPr>
        <w:t xml:space="preserve">. Morningstar, Inc. </w:t>
      </w:r>
    </w:p>
    <w:p w14:paraId="3A6EBF60" w14:textId="77777777" w:rsidR="00E3535F" w:rsidRPr="00E3535F" w:rsidRDefault="00E3535F" w:rsidP="00190652">
      <w:pPr>
        <w:spacing w:line="276" w:lineRule="auto"/>
        <w:rPr>
          <w:color w:val="000000" w:themeColor="text1"/>
        </w:rPr>
      </w:pPr>
    </w:p>
    <w:p w14:paraId="2B870F95" w14:textId="13495FD9" w:rsidR="00156C43" w:rsidRPr="00E3535F" w:rsidRDefault="00156C43" w:rsidP="00462DAF">
      <w:pPr>
        <w:spacing w:line="276" w:lineRule="auto"/>
        <w:rPr>
          <w:color w:val="000000" w:themeColor="text1"/>
        </w:rPr>
      </w:pPr>
      <w:r w:rsidRPr="00E3535F">
        <w:rPr>
          <w:color w:val="000000" w:themeColor="text1"/>
        </w:rPr>
        <w:t>American Psychological Association. (n.d.). </w:t>
      </w:r>
      <w:r w:rsidRPr="00E3535F">
        <w:rPr>
          <w:i/>
          <w:iCs/>
          <w:color w:val="000000" w:themeColor="text1"/>
        </w:rPr>
        <w:t>Socioeconomic status</w:t>
      </w:r>
      <w:r w:rsidRPr="00E3535F">
        <w:rPr>
          <w:color w:val="000000" w:themeColor="text1"/>
        </w:rPr>
        <w:t>. American Psychological Association. Retrieved April 27, 2022, from https://www.apa.org/topics/socioeconomic-status </w:t>
      </w:r>
    </w:p>
    <w:p w14:paraId="00EEC9B3" w14:textId="77777777" w:rsidR="00156C43" w:rsidRPr="00E3535F" w:rsidRDefault="00156C43" w:rsidP="00462DAF">
      <w:pPr>
        <w:spacing w:line="276" w:lineRule="auto"/>
        <w:rPr>
          <w:color w:val="000000" w:themeColor="text1"/>
        </w:rPr>
      </w:pPr>
    </w:p>
    <w:p w14:paraId="47A3CDB2" w14:textId="1C0A2AE3" w:rsidR="00E3535F" w:rsidRDefault="00156C43" w:rsidP="00462DAF">
      <w:pPr>
        <w:spacing w:line="276" w:lineRule="auto"/>
        <w:rPr>
          <w:color w:val="000000" w:themeColor="text1"/>
        </w:rPr>
      </w:pPr>
      <w:r w:rsidRPr="00E3535F">
        <w:rPr>
          <w:color w:val="000000" w:themeColor="text1"/>
        </w:rPr>
        <w:t xml:space="preserve">Bengtsson, C., Persson, M., &amp; </w:t>
      </w:r>
      <w:proofErr w:type="spellStart"/>
      <w:r w:rsidRPr="00E3535F">
        <w:rPr>
          <w:color w:val="000000" w:themeColor="text1"/>
        </w:rPr>
        <w:t>Willenhag</w:t>
      </w:r>
      <w:proofErr w:type="spellEnd"/>
      <w:r w:rsidRPr="00E3535F">
        <w:rPr>
          <w:color w:val="000000" w:themeColor="text1"/>
        </w:rPr>
        <w:t>, P. (2005). Gender and overconfidence. </w:t>
      </w:r>
      <w:r w:rsidRPr="00E3535F">
        <w:rPr>
          <w:i/>
          <w:iCs/>
          <w:color w:val="000000" w:themeColor="text1"/>
        </w:rPr>
        <w:t>Economics Letters</w:t>
      </w:r>
      <w:r w:rsidRPr="00E3535F">
        <w:rPr>
          <w:color w:val="000000" w:themeColor="text1"/>
        </w:rPr>
        <w:t>, </w:t>
      </w:r>
      <w:r w:rsidRPr="00E3535F">
        <w:rPr>
          <w:i/>
          <w:iCs/>
          <w:color w:val="000000" w:themeColor="text1"/>
        </w:rPr>
        <w:t>86</w:t>
      </w:r>
      <w:r w:rsidRPr="00E3535F">
        <w:rPr>
          <w:color w:val="000000" w:themeColor="text1"/>
        </w:rPr>
        <w:t xml:space="preserve">(2), 199–203. </w:t>
      </w:r>
    </w:p>
    <w:p w14:paraId="4D1C0BC6" w14:textId="77777777" w:rsidR="00F53913" w:rsidRPr="00E3535F" w:rsidRDefault="00F53913" w:rsidP="00462DAF">
      <w:pPr>
        <w:spacing w:line="276" w:lineRule="auto"/>
        <w:rPr>
          <w:color w:val="000000" w:themeColor="text1"/>
        </w:rPr>
      </w:pPr>
    </w:p>
    <w:p w14:paraId="7C951E6D" w14:textId="77777777" w:rsidR="00F53913" w:rsidRPr="00F53913" w:rsidRDefault="00F53913" w:rsidP="00F53913">
      <w:pPr>
        <w:rPr>
          <w:color w:val="000000" w:themeColor="text1"/>
        </w:rPr>
      </w:pPr>
      <w:proofErr w:type="spellStart"/>
      <w:r w:rsidRPr="00F53913">
        <w:rPr>
          <w:color w:val="000000" w:themeColor="text1"/>
          <w:shd w:val="clear" w:color="auto" w:fill="FFFFFF"/>
        </w:rPr>
        <w:t>Betermier</w:t>
      </w:r>
      <w:proofErr w:type="spellEnd"/>
      <w:r w:rsidRPr="00F53913">
        <w:rPr>
          <w:color w:val="000000" w:themeColor="text1"/>
          <w:shd w:val="clear" w:color="auto" w:fill="FFFFFF"/>
        </w:rPr>
        <w:t xml:space="preserve">, S., </w:t>
      </w:r>
      <w:proofErr w:type="spellStart"/>
      <w:r w:rsidRPr="00F53913">
        <w:rPr>
          <w:color w:val="000000" w:themeColor="text1"/>
          <w:shd w:val="clear" w:color="auto" w:fill="FFFFFF"/>
        </w:rPr>
        <w:t>Calvet</w:t>
      </w:r>
      <w:proofErr w:type="spellEnd"/>
      <w:r w:rsidRPr="00F53913">
        <w:rPr>
          <w:color w:val="000000" w:themeColor="text1"/>
          <w:shd w:val="clear" w:color="auto" w:fill="FFFFFF"/>
        </w:rPr>
        <w:t xml:space="preserve">, L. E., &amp; </w:t>
      </w:r>
      <w:proofErr w:type="spellStart"/>
      <w:r w:rsidRPr="00F53913">
        <w:rPr>
          <w:color w:val="000000" w:themeColor="text1"/>
          <w:shd w:val="clear" w:color="auto" w:fill="FFFFFF"/>
        </w:rPr>
        <w:t>Sodini</w:t>
      </w:r>
      <w:proofErr w:type="spellEnd"/>
      <w:r w:rsidRPr="00F53913">
        <w:rPr>
          <w:color w:val="000000" w:themeColor="text1"/>
          <w:shd w:val="clear" w:color="auto" w:fill="FFFFFF"/>
        </w:rPr>
        <w:t xml:space="preserve">, P. (2017). Who are the value and growth </w:t>
      </w:r>
      <w:proofErr w:type="gramStart"/>
      <w:r w:rsidRPr="00F53913">
        <w:rPr>
          <w:color w:val="000000" w:themeColor="text1"/>
          <w:shd w:val="clear" w:color="auto" w:fill="FFFFFF"/>
        </w:rPr>
        <w:t>investors?.</w:t>
      </w:r>
      <w:proofErr w:type="gramEnd"/>
      <w:r w:rsidRPr="00F53913">
        <w:rPr>
          <w:color w:val="000000" w:themeColor="text1"/>
          <w:shd w:val="clear" w:color="auto" w:fill="FFFFFF"/>
        </w:rPr>
        <w:t> </w:t>
      </w:r>
      <w:r w:rsidRPr="00F53913">
        <w:rPr>
          <w:i/>
          <w:iCs/>
          <w:color w:val="000000" w:themeColor="text1"/>
        </w:rPr>
        <w:t>The Journal of Finance</w:t>
      </w:r>
      <w:r w:rsidRPr="00F53913">
        <w:rPr>
          <w:color w:val="000000" w:themeColor="text1"/>
          <w:shd w:val="clear" w:color="auto" w:fill="FFFFFF"/>
        </w:rPr>
        <w:t>, </w:t>
      </w:r>
      <w:r w:rsidRPr="00F53913">
        <w:rPr>
          <w:i/>
          <w:iCs/>
          <w:color w:val="000000" w:themeColor="text1"/>
        </w:rPr>
        <w:t>72</w:t>
      </w:r>
      <w:r w:rsidRPr="00F53913">
        <w:rPr>
          <w:color w:val="000000" w:themeColor="text1"/>
          <w:shd w:val="clear" w:color="auto" w:fill="FFFFFF"/>
        </w:rPr>
        <w:t>(1), 5-46.</w:t>
      </w:r>
    </w:p>
    <w:p w14:paraId="669C8A1C" w14:textId="77777777" w:rsidR="00F53913" w:rsidRDefault="00F53913" w:rsidP="00462DAF">
      <w:pPr>
        <w:spacing w:line="276" w:lineRule="auto"/>
        <w:rPr>
          <w:color w:val="000000"/>
        </w:rPr>
      </w:pPr>
    </w:p>
    <w:p w14:paraId="40D11DC7" w14:textId="163E1446" w:rsidR="00156C43" w:rsidRPr="00E3535F" w:rsidRDefault="00156C43" w:rsidP="00462DAF">
      <w:pPr>
        <w:spacing w:line="276" w:lineRule="auto"/>
        <w:rPr>
          <w:color w:val="000000" w:themeColor="text1"/>
        </w:rPr>
      </w:pPr>
      <w:r w:rsidRPr="00E3535F">
        <w:rPr>
          <w:color w:val="000000" w:themeColor="text1"/>
        </w:rPr>
        <w:t xml:space="preserve">Brad M. Barber, Terrance </w:t>
      </w:r>
      <w:proofErr w:type="spellStart"/>
      <w:r w:rsidRPr="00E3535F">
        <w:rPr>
          <w:color w:val="000000" w:themeColor="text1"/>
        </w:rPr>
        <w:t>Odean</w:t>
      </w:r>
      <w:proofErr w:type="spellEnd"/>
      <w:r w:rsidRPr="00E3535F">
        <w:rPr>
          <w:color w:val="000000" w:themeColor="text1"/>
        </w:rPr>
        <w:t>, Boys will be Boys: Gender, Overconfidence, and Common Stock Investment, </w:t>
      </w:r>
      <w:r w:rsidRPr="00E3535F">
        <w:rPr>
          <w:i/>
          <w:iCs/>
          <w:color w:val="000000" w:themeColor="text1"/>
        </w:rPr>
        <w:t>The Quarterly Journal of Economics</w:t>
      </w:r>
      <w:r w:rsidRPr="00E3535F">
        <w:rPr>
          <w:color w:val="000000" w:themeColor="text1"/>
        </w:rPr>
        <w:t>, Volume 116, Issue 1, February 2001, Pages 261–292,</w:t>
      </w:r>
    </w:p>
    <w:p w14:paraId="73EB439E" w14:textId="77777777" w:rsidR="00156C43" w:rsidRPr="00E3535F" w:rsidRDefault="00156C43" w:rsidP="00462DAF">
      <w:pPr>
        <w:spacing w:line="276" w:lineRule="auto"/>
        <w:rPr>
          <w:color w:val="000000" w:themeColor="text1"/>
        </w:rPr>
      </w:pPr>
    </w:p>
    <w:p w14:paraId="31703E6D" w14:textId="238DF910" w:rsidR="00156C43" w:rsidRPr="00E3535F" w:rsidRDefault="00156C43" w:rsidP="00462DAF">
      <w:pPr>
        <w:spacing w:line="276" w:lineRule="auto"/>
        <w:rPr>
          <w:color w:val="000000" w:themeColor="text1"/>
        </w:rPr>
      </w:pPr>
      <w:r w:rsidRPr="00E3535F">
        <w:rPr>
          <w:color w:val="000000" w:themeColor="text1"/>
        </w:rPr>
        <w:t>Brealey, R. A. &amp; Myers, S. (1981). </w:t>
      </w:r>
      <w:r w:rsidRPr="00E3535F">
        <w:rPr>
          <w:i/>
          <w:iCs/>
          <w:color w:val="000000" w:themeColor="text1"/>
        </w:rPr>
        <w:t>Principles of Corporate Finance</w:t>
      </w:r>
      <w:r w:rsidRPr="00E3535F">
        <w:rPr>
          <w:color w:val="000000" w:themeColor="text1"/>
        </w:rPr>
        <w:t>. McGraw-Hill. </w:t>
      </w:r>
    </w:p>
    <w:p w14:paraId="1898AD9C" w14:textId="77777777" w:rsidR="00156C43" w:rsidRPr="00E3535F" w:rsidRDefault="00156C43" w:rsidP="00462DAF">
      <w:pPr>
        <w:spacing w:line="276" w:lineRule="auto"/>
        <w:rPr>
          <w:color w:val="000000" w:themeColor="text1"/>
        </w:rPr>
      </w:pPr>
    </w:p>
    <w:p w14:paraId="3A179AFD" w14:textId="3449087F" w:rsidR="00156C43" w:rsidRPr="00E3535F" w:rsidRDefault="00156C43" w:rsidP="00462DAF">
      <w:pPr>
        <w:spacing w:line="276" w:lineRule="auto"/>
        <w:rPr>
          <w:color w:val="000000" w:themeColor="text1"/>
        </w:rPr>
      </w:pPr>
      <w:proofErr w:type="spellStart"/>
      <w:r w:rsidRPr="00E3535F">
        <w:rPr>
          <w:color w:val="000000" w:themeColor="text1"/>
        </w:rPr>
        <w:t>Cakici</w:t>
      </w:r>
      <w:proofErr w:type="spellEnd"/>
      <w:r w:rsidRPr="00E3535F">
        <w:rPr>
          <w:color w:val="000000" w:themeColor="text1"/>
        </w:rPr>
        <w:t xml:space="preserve">, </w:t>
      </w:r>
      <w:proofErr w:type="gramStart"/>
      <w:r w:rsidRPr="00E3535F">
        <w:rPr>
          <w:color w:val="000000" w:themeColor="text1"/>
        </w:rPr>
        <w:t>N,(</w:t>
      </w:r>
      <w:proofErr w:type="gramEnd"/>
      <w:r w:rsidRPr="00E3535F">
        <w:rPr>
          <w:color w:val="000000" w:themeColor="text1"/>
        </w:rPr>
        <w:t xml:space="preserve">2015). The Five-Factor </w:t>
      </w:r>
      <w:proofErr w:type="spellStart"/>
      <w:r w:rsidRPr="00E3535F">
        <w:rPr>
          <w:color w:val="000000" w:themeColor="text1"/>
        </w:rPr>
        <w:t>Fama</w:t>
      </w:r>
      <w:proofErr w:type="spellEnd"/>
      <w:r w:rsidRPr="00E3535F">
        <w:rPr>
          <w:color w:val="000000" w:themeColor="text1"/>
        </w:rPr>
        <w:t>-French Model: International Evidence. 1-51</w:t>
      </w:r>
    </w:p>
    <w:p w14:paraId="70D7CD45" w14:textId="77777777" w:rsidR="00156C43" w:rsidRPr="00E3535F" w:rsidRDefault="00156C43" w:rsidP="00462DAF">
      <w:pPr>
        <w:spacing w:line="276" w:lineRule="auto"/>
        <w:rPr>
          <w:color w:val="000000" w:themeColor="text1"/>
        </w:rPr>
      </w:pPr>
    </w:p>
    <w:p w14:paraId="36A1A903" w14:textId="2AB4EE6E" w:rsidR="00156C43" w:rsidRPr="00E3535F" w:rsidRDefault="00156C43" w:rsidP="00462DAF">
      <w:pPr>
        <w:spacing w:line="276" w:lineRule="auto"/>
        <w:rPr>
          <w:rStyle w:val="Hyperlink"/>
          <w:color w:val="000000" w:themeColor="text1"/>
        </w:rPr>
      </w:pPr>
      <w:r w:rsidRPr="00E3535F">
        <w:rPr>
          <w:color w:val="000000" w:themeColor="text1"/>
        </w:rPr>
        <w:t xml:space="preserve"> </w:t>
      </w:r>
      <w:proofErr w:type="spellStart"/>
      <w:r w:rsidRPr="00E3535F">
        <w:rPr>
          <w:color w:val="000000" w:themeColor="text1"/>
        </w:rPr>
        <w:t>Cobey</w:t>
      </w:r>
      <w:proofErr w:type="spellEnd"/>
      <w:r w:rsidRPr="00E3535F">
        <w:rPr>
          <w:color w:val="000000" w:themeColor="text1"/>
        </w:rPr>
        <w:t xml:space="preserve">, K. D., </w:t>
      </w:r>
      <w:proofErr w:type="spellStart"/>
      <w:r w:rsidRPr="00E3535F">
        <w:rPr>
          <w:color w:val="000000" w:themeColor="text1"/>
        </w:rPr>
        <w:t>Laan</w:t>
      </w:r>
      <w:proofErr w:type="spellEnd"/>
      <w:r w:rsidRPr="00E3535F">
        <w:rPr>
          <w:color w:val="000000" w:themeColor="text1"/>
        </w:rPr>
        <w:t xml:space="preserve">, F., </w:t>
      </w:r>
      <w:proofErr w:type="spellStart"/>
      <w:r w:rsidRPr="00E3535F">
        <w:rPr>
          <w:color w:val="000000" w:themeColor="text1"/>
        </w:rPr>
        <w:t>Stulp</w:t>
      </w:r>
      <w:proofErr w:type="spellEnd"/>
      <w:r w:rsidRPr="00E3535F">
        <w:rPr>
          <w:color w:val="000000" w:themeColor="text1"/>
        </w:rPr>
        <w:t xml:space="preserve">, G., </w:t>
      </w:r>
      <w:proofErr w:type="spellStart"/>
      <w:r w:rsidRPr="00E3535F">
        <w:rPr>
          <w:color w:val="000000" w:themeColor="text1"/>
        </w:rPr>
        <w:t>Buunk</w:t>
      </w:r>
      <w:proofErr w:type="spellEnd"/>
      <w:r w:rsidRPr="00E3535F">
        <w:rPr>
          <w:color w:val="000000" w:themeColor="text1"/>
        </w:rPr>
        <w:t xml:space="preserve">, A. P., &amp; </w:t>
      </w:r>
      <w:proofErr w:type="spellStart"/>
      <w:r w:rsidRPr="00E3535F">
        <w:rPr>
          <w:color w:val="000000" w:themeColor="text1"/>
        </w:rPr>
        <w:t>Pollet</w:t>
      </w:r>
      <w:proofErr w:type="spellEnd"/>
      <w:r w:rsidRPr="00E3535F">
        <w:rPr>
          <w:color w:val="000000" w:themeColor="text1"/>
        </w:rPr>
        <w:t xml:space="preserve">, T. V. (2013). Sex Differences in Risk Taking Behavior among Dutch Cyclists. Evolutionary Psychology. </w:t>
      </w:r>
    </w:p>
    <w:p w14:paraId="3F35A1D1" w14:textId="77777777" w:rsidR="00156C43" w:rsidRPr="00E3535F" w:rsidRDefault="00156C43" w:rsidP="00462DAF">
      <w:pPr>
        <w:spacing w:line="276" w:lineRule="auto"/>
        <w:rPr>
          <w:color w:val="000000" w:themeColor="text1"/>
        </w:rPr>
      </w:pPr>
    </w:p>
    <w:p w14:paraId="72DDAE68" w14:textId="78B59D00" w:rsidR="00156C43" w:rsidRPr="00E3535F" w:rsidRDefault="00156C43" w:rsidP="00462DAF">
      <w:pPr>
        <w:spacing w:line="276" w:lineRule="auto"/>
        <w:rPr>
          <w:rStyle w:val="Hyperlink"/>
          <w:color w:val="000000" w:themeColor="text1"/>
        </w:rPr>
      </w:pPr>
      <w:proofErr w:type="spellStart"/>
      <w:r w:rsidRPr="00E3535F">
        <w:rPr>
          <w:color w:val="000000" w:themeColor="text1"/>
        </w:rPr>
        <w:t>Dahlbäck</w:t>
      </w:r>
      <w:proofErr w:type="spellEnd"/>
      <w:r w:rsidRPr="00E3535F">
        <w:rPr>
          <w:color w:val="000000" w:themeColor="text1"/>
        </w:rPr>
        <w:t>, O. (1991). Saving and risk taking. </w:t>
      </w:r>
      <w:r w:rsidRPr="00E3535F">
        <w:rPr>
          <w:i/>
          <w:iCs/>
          <w:color w:val="000000" w:themeColor="text1"/>
        </w:rPr>
        <w:t>Journal of Economic Psychology, 12</w:t>
      </w:r>
      <w:r w:rsidRPr="00E3535F">
        <w:rPr>
          <w:color w:val="000000" w:themeColor="text1"/>
        </w:rPr>
        <w:t>(3), 479–500. </w:t>
      </w:r>
      <w:r w:rsidR="00462DAF" w:rsidRPr="00E3535F">
        <w:rPr>
          <w:rStyle w:val="Hyperlink"/>
          <w:color w:val="000000" w:themeColor="text1"/>
        </w:rPr>
        <w:t xml:space="preserve"> </w:t>
      </w:r>
    </w:p>
    <w:p w14:paraId="60B59731" w14:textId="77777777" w:rsidR="00156C43" w:rsidRPr="00E3535F" w:rsidRDefault="00156C43" w:rsidP="00462DAF">
      <w:pPr>
        <w:spacing w:line="276" w:lineRule="auto"/>
        <w:rPr>
          <w:color w:val="000000" w:themeColor="text1"/>
        </w:rPr>
      </w:pPr>
    </w:p>
    <w:p w14:paraId="3D78AF36" w14:textId="6A550BBF" w:rsidR="00156C43" w:rsidRPr="00E3535F" w:rsidRDefault="00156C43" w:rsidP="00462DAF">
      <w:pPr>
        <w:spacing w:line="276" w:lineRule="auto"/>
        <w:rPr>
          <w:color w:val="000000" w:themeColor="text1"/>
        </w:rPr>
      </w:pPr>
      <w:r w:rsidRPr="00E3535F">
        <w:rPr>
          <w:color w:val="000000" w:themeColor="text1"/>
        </w:rPr>
        <w:t xml:space="preserve">Devaney, S., </w:t>
      </w:r>
      <w:proofErr w:type="spellStart"/>
      <w:r w:rsidRPr="00E3535F">
        <w:rPr>
          <w:color w:val="000000" w:themeColor="text1"/>
        </w:rPr>
        <w:t>Anong</w:t>
      </w:r>
      <w:proofErr w:type="spellEnd"/>
      <w:r w:rsidRPr="00E3535F">
        <w:rPr>
          <w:color w:val="000000" w:themeColor="text1"/>
        </w:rPr>
        <w:t>, S., &amp; Whirl, S. (2007). Household savings motives. </w:t>
      </w:r>
      <w:r w:rsidRPr="00E3535F">
        <w:rPr>
          <w:i/>
          <w:iCs/>
          <w:color w:val="000000" w:themeColor="text1"/>
        </w:rPr>
        <w:t>Journal of Consumer Affairs</w:t>
      </w:r>
      <w:r w:rsidRPr="00E3535F">
        <w:rPr>
          <w:color w:val="000000" w:themeColor="text1"/>
        </w:rPr>
        <w:t>, </w:t>
      </w:r>
      <w:r w:rsidRPr="00E3535F">
        <w:rPr>
          <w:i/>
          <w:iCs/>
          <w:color w:val="000000" w:themeColor="text1"/>
        </w:rPr>
        <w:t>41</w:t>
      </w:r>
      <w:r w:rsidRPr="00E3535F">
        <w:rPr>
          <w:color w:val="000000" w:themeColor="text1"/>
        </w:rPr>
        <w:t xml:space="preserve">(1), 174–186. </w:t>
      </w:r>
    </w:p>
    <w:p w14:paraId="1C36BA11" w14:textId="77777777" w:rsidR="00156C43" w:rsidRPr="00E3535F" w:rsidRDefault="00156C43" w:rsidP="00462DAF">
      <w:pPr>
        <w:spacing w:line="276" w:lineRule="auto"/>
        <w:rPr>
          <w:color w:val="000000" w:themeColor="text1"/>
        </w:rPr>
      </w:pPr>
    </w:p>
    <w:p w14:paraId="6AFD09D9" w14:textId="218D1ADB" w:rsidR="00462DAF" w:rsidRPr="00E3535F" w:rsidRDefault="00156C43" w:rsidP="00462DAF">
      <w:pPr>
        <w:spacing w:line="276" w:lineRule="auto"/>
        <w:rPr>
          <w:color w:val="000000" w:themeColor="text1"/>
        </w:rPr>
      </w:pPr>
      <w:proofErr w:type="spellStart"/>
      <w:r w:rsidRPr="00E3535F">
        <w:rPr>
          <w:color w:val="000000" w:themeColor="text1"/>
          <w:lang w:val="nl-NL"/>
        </w:rPr>
        <w:t>Duell</w:t>
      </w:r>
      <w:proofErr w:type="spellEnd"/>
      <w:r w:rsidRPr="00E3535F">
        <w:rPr>
          <w:color w:val="000000" w:themeColor="text1"/>
          <w:lang w:val="nl-NL"/>
        </w:rPr>
        <w:t xml:space="preserve">, N., Steinberg, L., </w:t>
      </w:r>
      <w:proofErr w:type="spellStart"/>
      <w:r w:rsidRPr="00E3535F">
        <w:rPr>
          <w:color w:val="000000" w:themeColor="text1"/>
          <w:lang w:val="nl-NL"/>
        </w:rPr>
        <w:t>Icenogle</w:t>
      </w:r>
      <w:proofErr w:type="spellEnd"/>
      <w:r w:rsidRPr="00E3535F">
        <w:rPr>
          <w:color w:val="000000" w:themeColor="text1"/>
          <w:lang w:val="nl-NL"/>
        </w:rPr>
        <w:t>, G. </w:t>
      </w:r>
      <w:r w:rsidRPr="00E3535F">
        <w:rPr>
          <w:i/>
          <w:iCs/>
          <w:color w:val="000000" w:themeColor="text1"/>
          <w:lang w:val="nl-NL"/>
        </w:rPr>
        <w:t>et al.</w:t>
      </w:r>
      <w:r w:rsidRPr="00E3535F">
        <w:rPr>
          <w:color w:val="000000" w:themeColor="text1"/>
          <w:lang w:val="nl-NL"/>
        </w:rPr>
        <w:t> </w:t>
      </w:r>
      <w:r w:rsidRPr="00E3535F">
        <w:rPr>
          <w:color w:val="000000" w:themeColor="text1"/>
        </w:rPr>
        <w:t>Age Patterns in Risk Taking Across the World. </w:t>
      </w:r>
      <w:r w:rsidRPr="00E3535F">
        <w:rPr>
          <w:i/>
          <w:iCs/>
          <w:color w:val="000000" w:themeColor="text1"/>
        </w:rPr>
        <w:t>J Youth Adolescence</w:t>
      </w:r>
      <w:r w:rsidRPr="00E3535F">
        <w:rPr>
          <w:color w:val="000000" w:themeColor="text1"/>
        </w:rPr>
        <w:t> </w:t>
      </w:r>
      <w:r w:rsidRPr="00E3535F">
        <w:rPr>
          <w:b/>
          <w:bCs/>
          <w:color w:val="000000" w:themeColor="text1"/>
        </w:rPr>
        <w:t>47, </w:t>
      </w:r>
      <w:r w:rsidRPr="00E3535F">
        <w:rPr>
          <w:color w:val="000000" w:themeColor="text1"/>
        </w:rPr>
        <w:t xml:space="preserve">1052–1072 (2018). </w:t>
      </w:r>
    </w:p>
    <w:p w14:paraId="3D4C1A67" w14:textId="77777777" w:rsidR="00462DAF" w:rsidRPr="00E3535F" w:rsidRDefault="00462DAF" w:rsidP="00462DAF">
      <w:pPr>
        <w:spacing w:line="276" w:lineRule="auto"/>
        <w:rPr>
          <w:color w:val="000000" w:themeColor="text1"/>
        </w:rPr>
      </w:pPr>
    </w:p>
    <w:p w14:paraId="7BADCB96" w14:textId="086FA7DF" w:rsidR="00156C43" w:rsidRPr="00E3535F" w:rsidRDefault="00156C43" w:rsidP="00462DAF">
      <w:pPr>
        <w:spacing w:line="276" w:lineRule="auto"/>
        <w:rPr>
          <w:color w:val="000000" w:themeColor="text1"/>
        </w:rPr>
      </w:pPr>
      <w:proofErr w:type="spellStart"/>
      <w:r w:rsidRPr="00E3535F">
        <w:rPr>
          <w:color w:val="000000" w:themeColor="text1"/>
        </w:rPr>
        <w:t>Fama</w:t>
      </w:r>
      <w:proofErr w:type="spellEnd"/>
      <w:r w:rsidRPr="00E3535F">
        <w:rPr>
          <w:color w:val="000000" w:themeColor="text1"/>
        </w:rPr>
        <w:t>, E. F., &amp; French, K. R. (2015). A five-factor asset pricing model. </w:t>
      </w:r>
      <w:r w:rsidRPr="00E3535F">
        <w:rPr>
          <w:i/>
          <w:iCs/>
          <w:color w:val="000000" w:themeColor="text1"/>
        </w:rPr>
        <w:t>Journal of Financial Economics</w:t>
      </w:r>
      <w:r w:rsidRPr="00E3535F">
        <w:rPr>
          <w:color w:val="000000" w:themeColor="text1"/>
        </w:rPr>
        <w:t>, </w:t>
      </w:r>
      <w:r w:rsidRPr="00E3535F">
        <w:rPr>
          <w:i/>
          <w:iCs/>
          <w:color w:val="000000" w:themeColor="text1"/>
        </w:rPr>
        <w:t>116</w:t>
      </w:r>
      <w:r w:rsidRPr="00E3535F">
        <w:rPr>
          <w:color w:val="000000" w:themeColor="text1"/>
        </w:rPr>
        <w:t>(1), 1–22 </w:t>
      </w:r>
    </w:p>
    <w:p w14:paraId="3E87C7FD" w14:textId="77777777" w:rsidR="00462DAF" w:rsidRPr="00E3535F" w:rsidRDefault="00462DAF" w:rsidP="00462DAF">
      <w:pPr>
        <w:spacing w:line="276" w:lineRule="auto"/>
        <w:rPr>
          <w:color w:val="000000" w:themeColor="text1"/>
        </w:rPr>
      </w:pPr>
    </w:p>
    <w:p w14:paraId="5568338D" w14:textId="2B9DA8E7" w:rsidR="00156C43" w:rsidRPr="00E3535F" w:rsidRDefault="00156C43" w:rsidP="00462DAF">
      <w:pPr>
        <w:spacing w:line="276" w:lineRule="auto"/>
        <w:rPr>
          <w:color w:val="000000" w:themeColor="text1"/>
        </w:rPr>
      </w:pPr>
      <w:r w:rsidRPr="00E3535F">
        <w:rPr>
          <w:color w:val="000000" w:themeColor="text1"/>
        </w:rPr>
        <w:t xml:space="preserve">Foye, J. (2018). A comprehensive test of the </w:t>
      </w:r>
      <w:proofErr w:type="spellStart"/>
      <w:r w:rsidRPr="00E3535F">
        <w:rPr>
          <w:color w:val="000000" w:themeColor="text1"/>
        </w:rPr>
        <w:t>Fama</w:t>
      </w:r>
      <w:proofErr w:type="spellEnd"/>
      <w:r w:rsidRPr="00E3535F">
        <w:rPr>
          <w:color w:val="000000" w:themeColor="text1"/>
        </w:rPr>
        <w:t>-French five-factor model in emerging markets. </w:t>
      </w:r>
      <w:r w:rsidRPr="00E3535F">
        <w:rPr>
          <w:i/>
          <w:iCs/>
          <w:color w:val="000000" w:themeColor="text1"/>
        </w:rPr>
        <w:t>Emerging Markets Review</w:t>
      </w:r>
      <w:r w:rsidRPr="00E3535F">
        <w:rPr>
          <w:color w:val="000000" w:themeColor="text1"/>
        </w:rPr>
        <w:t>, </w:t>
      </w:r>
      <w:r w:rsidRPr="00E3535F">
        <w:rPr>
          <w:i/>
          <w:iCs/>
          <w:color w:val="000000" w:themeColor="text1"/>
        </w:rPr>
        <w:t>37</w:t>
      </w:r>
      <w:r w:rsidRPr="00E3535F">
        <w:rPr>
          <w:color w:val="000000" w:themeColor="text1"/>
        </w:rPr>
        <w:t xml:space="preserve">, 199–222. </w:t>
      </w:r>
    </w:p>
    <w:p w14:paraId="55F5C334" w14:textId="77777777" w:rsidR="00462DAF" w:rsidRPr="00E3535F" w:rsidRDefault="00462DAF" w:rsidP="00462DAF">
      <w:pPr>
        <w:spacing w:line="276" w:lineRule="auto"/>
        <w:rPr>
          <w:color w:val="000000" w:themeColor="text1"/>
        </w:rPr>
      </w:pPr>
    </w:p>
    <w:p w14:paraId="198E7E05" w14:textId="7EC6F67A" w:rsidR="00156C43" w:rsidRPr="00E3535F" w:rsidRDefault="00156C43" w:rsidP="00462DAF">
      <w:pPr>
        <w:spacing w:line="276" w:lineRule="auto"/>
        <w:rPr>
          <w:color w:val="000000" w:themeColor="text1"/>
        </w:rPr>
      </w:pPr>
      <w:r w:rsidRPr="00E3535F">
        <w:rPr>
          <w:color w:val="000000" w:themeColor="text1"/>
        </w:rPr>
        <w:t>Grable, J.E. Financial Risk Tolerance and Additional Factors That Affect Risk Taking in Everyday Money Matters. </w:t>
      </w:r>
      <w:r w:rsidRPr="00E3535F">
        <w:rPr>
          <w:i/>
          <w:iCs/>
          <w:color w:val="000000" w:themeColor="text1"/>
        </w:rPr>
        <w:t>Journal of Business and Psychology</w:t>
      </w:r>
      <w:r w:rsidRPr="00E3535F">
        <w:rPr>
          <w:color w:val="000000" w:themeColor="text1"/>
        </w:rPr>
        <w:t> </w:t>
      </w:r>
      <w:r w:rsidRPr="00E3535F">
        <w:rPr>
          <w:b/>
          <w:bCs/>
          <w:color w:val="000000" w:themeColor="text1"/>
        </w:rPr>
        <w:t>14, </w:t>
      </w:r>
      <w:r w:rsidRPr="00E3535F">
        <w:rPr>
          <w:color w:val="000000" w:themeColor="text1"/>
        </w:rPr>
        <w:t xml:space="preserve">625–630 (2000). </w:t>
      </w:r>
    </w:p>
    <w:p w14:paraId="31EAB236" w14:textId="77777777" w:rsidR="00462DAF" w:rsidRPr="00E3535F" w:rsidRDefault="00462DAF" w:rsidP="00462DAF">
      <w:pPr>
        <w:spacing w:line="276" w:lineRule="auto"/>
        <w:rPr>
          <w:color w:val="000000" w:themeColor="text1"/>
        </w:rPr>
      </w:pPr>
    </w:p>
    <w:p w14:paraId="0A853879" w14:textId="570330F8" w:rsidR="00156C43" w:rsidRPr="00E3535F" w:rsidRDefault="00156C43" w:rsidP="00462DAF">
      <w:pPr>
        <w:spacing w:line="276" w:lineRule="auto"/>
        <w:rPr>
          <w:color w:val="000000" w:themeColor="text1"/>
        </w:rPr>
      </w:pPr>
      <w:proofErr w:type="spellStart"/>
      <w:r w:rsidRPr="00E3535F">
        <w:rPr>
          <w:color w:val="000000" w:themeColor="text1"/>
        </w:rPr>
        <w:lastRenderedPageBreak/>
        <w:t>Grefenstette</w:t>
      </w:r>
      <w:proofErr w:type="spellEnd"/>
      <w:r w:rsidRPr="00E3535F">
        <w:rPr>
          <w:color w:val="000000" w:themeColor="text1"/>
        </w:rPr>
        <w:t xml:space="preserve">, G., &amp; </w:t>
      </w:r>
      <w:proofErr w:type="spellStart"/>
      <w:r w:rsidRPr="00E3535F">
        <w:rPr>
          <w:color w:val="000000" w:themeColor="text1"/>
        </w:rPr>
        <w:t>Tapanainen</w:t>
      </w:r>
      <w:proofErr w:type="spellEnd"/>
      <w:r w:rsidRPr="00E3535F">
        <w:rPr>
          <w:color w:val="000000" w:themeColor="text1"/>
        </w:rPr>
        <w:t xml:space="preserve">, P. (1994). What is a word, what is a </w:t>
      </w:r>
      <w:proofErr w:type="gramStart"/>
      <w:r w:rsidRPr="00E3535F">
        <w:rPr>
          <w:color w:val="000000" w:themeColor="text1"/>
        </w:rPr>
        <w:t>sentence?:</w:t>
      </w:r>
      <w:proofErr w:type="gramEnd"/>
      <w:r w:rsidRPr="00E3535F">
        <w:rPr>
          <w:color w:val="000000" w:themeColor="text1"/>
        </w:rPr>
        <w:t xml:space="preserve"> problems of </w:t>
      </w:r>
      <w:proofErr w:type="spellStart"/>
      <w:r w:rsidRPr="00E3535F">
        <w:rPr>
          <w:color w:val="000000" w:themeColor="text1"/>
        </w:rPr>
        <w:t>Tokenisation</w:t>
      </w:r>
      <w:proofErr w:type="spellEnd"/>
      <w:r w:rsidRPr="00E3535F">
        <w:rPr>
          <w:color w:val="000000" w:themeColor="text1"/>
        </w:rPr>
        <w:t>.</w:t>
      </w:r>
    </w:p>
    <w:p w14:paraId="307A7C40" w14:textId="77777777" w:rsidR="00462DAF" w:rsidRPr="00E3535F" w:rsidRDefault="00462DAF" w:rsidP="00462DAF">
      <w:pPr>
        <w:spacing w:line="276" w:lineRule="auto"/>
        <w:rPr>
          <w:color w:val="000000" w:themeColor="text1"/>
        </w:rPr>
      </w:pPr>
    </w:p>
    <w:p w14:paraId="33D42557" w14:textId="65FD7B24" w:rsidR="00156C43" w:rsidRPr="00E3535F" w:rsidRDefault="00156C43" w:rsidP="00462DAF">
      <w:pPr>
        <w:spacing w:line="276" w:lineRule="auto"/>
        <w:rPr>
          <w:color w:val="000000" w:themeColor="text1"/>
        </w:rPr>
      </w:pPr>
      <w:r w:rsidRPr="00E3535F">
        <w:rPr>
          <w:color w:val="000000" w:themeColor="text1"/>
        </w:rPr>
        <w:t xml:space="preserve">Hamilton, D. F., </w:t>
      </w:r>
      <w:proofErr w:type="spellStart"/>
      <w:r w:rsidRPr="00E3535F">
        <w:rPr>
          <w:color w:val="000000" w:themeColor="text1"/>
        </w:rPr>
        <w:t>Ghert</w:t>
      </w:r>
      <w:proofErr w:type="spellEnd"/>
      <w:r w:rsidRPr="00E3535F">
        <w:rPr>
          <w:color w:val="000000" w:themeColor="text1"/>
        </w:rPr>
        <w:t>, M., &amp; Simpson, A. H. (2015). Interpreting regression models in clinical outcome studies.</w:t>
      </w:r>
      <w:r w:rsidRPr="00E3535F">
        <w:rPr>
          <w:rFonts w:eastAsiaTheme="minorEastAsia"/>
          <w:color w:val="000000" w:themeColor="text1"/>
        </w:rPr>
        <w:t> </w:t>
      </w:r>
      <w:r w:rsidRPr="00E3535F">
        <w:rPr>
          <w:i/>
          <w:iCs/>
          <w:color w:val="000000" w:themeColor="text1"/>
        </w:rPr>
        <w:t>Bone &amp; joint research</w:t>
      </w:r>
      <w:r w:rsidRPr="00E3535F">
        <w:rPr>
          <w:color w:val="000000" w:themeColor="text1"/>
        </w:rPr>
        <w:t>,</w:t>
      </w:r>
      <w:r w:rsidRPr="00E3535F">
        <w:rPr>
          <w:rFonts w:eastAsiaTheme="minorEastAsia"/>
          <w:color w:val="000000" w:themeColor="text1"/>
        </w:rPr>
        <w:t> </w:t>
      </w:r>
      <w:r w:rsidRPr="00E3535F">
        <w:rPr>
          <w:i/>
          <w:iCs/>
          <w:color w:val="000000" w:themeColor="text1"/>
        </w:rPr>
        <w:t>4</w:t>
      </w:r>
      <w:r w:rsidRPr="00E3535F">
        <w:rPr>
          <w:color w:val="000000" w:themeColor="text1"/>
        </w:rPr>
        <w:t xml:space="preserve">(9), 152–153. </w:t>
      </w:r>
    </w:p>
    <w:p w14:paraId="4869F064" w14:textId="77777777" w:rsidR="00462DAF" w:rsidRPr="00E3535F" w:rsidRDefault="00462DAF" w:rsidP="00462DAF">
      <w:pPr>
        <w:spacing w:line="276" w:lineRule="auto"/>
        <w:rPr>
          <w:color w:val="000000" w:themeColor="text1"/>
        </w:rPr>
      </w:pPr>
    </w:p>
    <w:p w14:paraId="6CA95AF6" w14:textId="2337FDC7" w:rsidR="00156C43" w:rsidRPr="00E3535F" w:rsidRDefault="00156C43" w:rsidP="00462DAF">
      <w:pPr>
        <w:spacing w:line="276" w:lineRule="auto"/>
        <w:rPr>
          <w:color w:val="000000" w:themeColor="text1"/>
        </w:rPr>
      </w:pPr>
      <w:r w:rsidRPr="00E3535F">
        <w:rPr>
          <w:color w:val="000000" w:themeColor="text1"/>
        </w:rPr>
        <w:t>Hanna, S. D., Gutter, M. S., &amp; Fan, J. X. (2001). A measure of risk tolerance based on economic theory. </w:t>
      </w:r>
      <w:r w:rsidRPr="00E3535F">
        <w:rPr>
          <w:i/>
          <w:iCs/>
          <w:color w:val="000000" w:themeColor="text1"/>
        </w:rPr>
        <w:t>Journal of Financial Counseling and Planning</w:t>
      </w:r>
      <w:r w:rsidRPr="00E3535F">
        <w:rPr>
          <w:color w:val="000000" w:themeColor="text1"/>
        </w:rPr>
        <w:t>, </w:t>
      </w:r>
      <w:r w:rsidRPr="00E3535F">
        <w:rPr>
          <w:i/>
          <w:iCs/>
          <w:color w:val="000000" w:themeColor="text1"/>
        </w:rPr>
        <w:t>12</w:t>
      </w:r>
      <w:r w:rsidRPr="00E3535F">
        <w:rPr>
          <w:color w:val="000000" w:themeColor="text1"/>
        </w:rPr>
        <w:t>(2), 53.</w:t>
      </w:r>
    </w:p>
    <w:p w14:paraId="360F7FC7" w14:textId="77777777" w:rsidR="00462DAF" w:rsidRPr="00E3535F" w:rsidRDefault="00462DAF" w:rsidP="00462DAF">
      <w:pPr>
        <w:spacing w:line="276" w:lineRule="auto"/>
        <w:rPr>
          <w:color w:val="000000" w:themeColor="text1"/>
        </w:rPr>
      </w:pPr>
    </w:p>
    <w:p w14:paraId="38137FD6" w14:textId="0BA5CFE3" w:rsidR="00156C43" w:rsidRPr="00E3535F" w:rsidRDefault="00156C43" w:rsidP="00462DAF">
      <w:pPr>
        <w:spacing w:line="276" w:lineRule="auto"/>
        <w:rPr>
          <w:color w:val="000000" w:themeColor="text1"/>
        </w:rPr>
      </w:pPr>
      <w:r w:rsidRPr="00E3535F">
        <w:rPr>
          <w:color w:val="000000" w:themeColor="text1"/>
        </w:rPr>
        <w:t>Hibbert, A. M., Lawrence, E. R., &amp; Prakash, A. J. (2013). Does knowledge of finance mitigate the gender difference in financial risk-aversion? </w:t>
      </w:r>
      <w:r w:rsidRPr="00E3535F">
        <w:rPr>
          <w:i/>
          <w:iCs/>
          <w:color w:val="000000" w:themeColor="text1"/>
        </w:rPr>
        <w:t>Global Finance Journal</w:t>
      </w:r>
      <w:r w:rsidRPr="00E3535F">
        <w:rPr>
          <w:color w:val="000000" w:themeColor="text1"/>
        </w:rPr>
        <w:t>, </w:t>
      </w:r>
      <w:r w:rsidRPr="00E3535F">
        <w:rPr>
          <w:i/>
          <w:iCs/>
          <w:color w:val="000000" w:themeColor="text1"/>
        </w:rPr>
        <w:t>24</w:t>
      </w:r>
      <w:r w:rsidRPr="00E3535F">
        <w:rPr>
          <w:color w:val="000000" w:themeColor="text1"/>
        </w:rPr>
        <w:t xml:space="preserve">(2), 140–152. </w:t>
      </w:r>
    </w:p>
    <w:p w14:paraId="7324DBBA" w14:textId="77777777" w:rsidR="00462DAF" w:rsidRPr="00E3535F" w:rsidRDefault="00462DAF" w:rsidP="00462DAF">
      <w:pPr>
        <w:spacing w:line="276" w:lineRule="auto"/>
        <w:rPr>
          <w:color w:val="000000" w:themeColor="text1"/>
        </w:rPr>
      </w:pPr>
    </w:p>
    <w:p w14:paraId="5F1C00F1" w14:textId="680E6B79" w:rsidR="00156C43" w:rsidRPr="00E3535F" w:rsidRDefault="00156C43" w:rsidP="00462DAF">
      <w:pPr>
        <w:spacing w:line="276" w:lineRule="auto"/>
        <w:rPr>
          <w:color w:val="000000" w:themeColor="text1"/>
        </w:rPr>
      </w:pPr>
      <w:r w:rsidRPr="00E3535F">
        <w:rPr>
          <w:color w:val="000000" w:themeColor="text1"/>
        </w:rPr>
        <w:t xml:space="preserve">Lee, Kevin and Miller, Scott and Velasquez, Nicole and </w:t>
      </w:r>
      <w:proofErr w:type="spellStart"/>
      <w:r w:rsidRPr="00E3535F">
        <w:rPr>
          <w:color w:val="000000" w:themeColor="text1"/>
        </w:rPr>
        <w:t>Wann</w:t>
      </w:r>
      <w:proofErr w:type="spellEnd"/>
      <w:r w:rsidRPr="00E3535F">
        <w:rPr>
          <w:color w:val="000000" w:themeColor="text1"/>
        </w:rPr>
        <w:t>, Christi, The Effect of Investor Bias and Gender on Portfolio Performance and Risk (2013). The International Journal of Business and Finance Research, v. 7 (1) pp. 1-16, 2013</w:t>
      </w:r>
    </w:p>
    <w:p w14:paraId="0C3DF95F" w14:textId="77777777" w:rsidR="00462DAF" w:rsidRPr="00E3535F" w:rsidRDefault="00462DAF" w:rsidP="00462DAF">
      <w:pPr>
        <w:spacing w:line="276" w:lineRule="auto"/>
        <w:rPr>
          <w:color w:val="000000" w:themeColor="text1"/>
        </w:rPr>
      </w:pPr>
    </w:p>
    <w:p w14:paraId="505D1356" w14:textId="40946104" w:rsidR="00156C43" w:rsidRPr="00E3535F" w:rsidRDefault="00156C43" w:rsidP="00462DAF">
      <w:pPr>
        <w:spacing w:line="276" w:lineRule="auto"/>
        <w:rPr>
          <w:color w:val="000000" w:themeColor="text1"/>
        </w:rPr>
      </w:pPr>
      <w:proofErr w:type="spellStart"/>
      <w:r w:rsidRPr="00E3535F">
        <w:rPr>
          <w:color w:val="000000" w:themeColor="text1"/>
        </w:rPr>
        <w:t>Levenshtein</w:t>
      </w:r>
      <w:proofErr w:type="spellEnd"/>
      <w:r w:rsidRPr="00E3535F">
        <w:rPr>
          <w:color w:val="000000" w:themeColor="text1"/>
        </w:rPr>
        <w:t>, V. I. (1966, February). Binary codes capable of correcting deletions, insertions, and reversals. In </w:t>
      </w:r>
      <w:r w:rsidRPr="00E3535F">
        <w:rPr>
          <w:i/>
          <w:iCs/>
          <w:color w:val="000000" w:themeColor="text1"/>
        </w:rPr>
        <w:t xml:space="preserve">Soviet physics </w:t>
      </w:r>
      <w:proofErr w:type="spellStart"/>
      <w:r w:rsidRPr="00E3535F">
        <w:rPr>
          <w:i/>
          <w:iCs/>
          <w:color w:val="000000" w:themeColor="text1"/>
        </w:rPr>
        <w:t>doklady</w:t>
      </w:r>
      <w:proofErr w:type="spellEnd"/>
      <w:r w:rsidRPr="00E3535F">
        <w:rPr>
          <w:color w:val="000000" w:themeColor="text1"/>
        </w:rPr>
        <w:t> (Vol. 10, No. 8, pp. 707-710)</w:t>
      </w:r>
    </w:p>
    <w:p w14:paraId="175AB670" w14:textId="77777777" w:rsidR="00462DAF" w:rsidRPr="00E3535F" w:rsidRDefault="00462DAF" w:rsidP="00462DAF">
      <w:pPr>
        <w:spacing w:line="276" w:lineRule="auto"/>
        <w:rPr>
          <w:color w:val="000000" w:themeColor="text1"/>
        </w:rPr>
      </w:pPr>
    </w:p>
    <w:p w14:paraId="1DBBB8C4" w14:textId="0E15B451" w:rsidR="00156C43" w:rsidRPr="00E3535F" w:rsidRDefault="00156C43" w:rsidP="00462DAF">
      <w:pPr>
        <w:spacing w:line="276" w:lineRule="auto"/>
        <w:rPr>
          <w:color w:val="000000" w:themeColor="text1"/>
        </w:rPr>
      </w:pPr>
      <w:proofErr w:type="spellStart"/>
      <w:r w:rsidRPr="00E3535F">
        <w:rPr>
          <w:color w:val="000000" w:themeColor="text1"/>
        </w:rPr>
        <w:t>Lhoussain</w:t>
      </w:r>
      <w:proofErr w:type="spellEnd"/>
      <w:r w:rsidRPr="00E3535F">
        <w:rPr>
          <w:color w:val="000000" w:themeColor="text1"/>
        </w:rPr>
        <w:t xml:space="preserve">, A. S., Hicham, G., &amp; </w:t>
      </w:r>
      <w:proofErr w:type="spellStart"/>
      <w:r w:rsidRPr="00E3535F">
        <w:rPr>
          <w:color w:val="000000" w:themeColor="text1"/>
        </w:rPr>
        <w:t>Abdellah</w:t>
      </w:r>
      <w:proofErr w:type="spellEnd"/>
      <w:r w:rsidRPr="00E3535F">
        <w:rPr>
          <w:color w:val="000000" w:themeColor="text1"/>
        </w:rPr>
        <w:t xml:space="preserve">, </w:t>
      </w:r>
      <w:proofErr w:type="gramStart"/>
      <w:r w:rsidRPr="00E3535F">
        <w:rPr>
          <w:color w:val="000000" w:themeColor="text1"/>
        </w:rPr>
        <w:t>Y.(</w:t>
      </w:r>
      <w:proofErr w:type="gramEnd"/>
      <w:r w:rsidRPr="00E3535F">
        <w:rPr>
          <w:color w:val="000000" w:themeColor="text1"/>
        </w:rPr>
        <w:t xml:space="preserve">2015). </w:t>
      </w:r>
      <w:proofErr w:type="spellStart"/>
      <w:r w:rsidRPr="00E3535F">
        <w:rPr>
          <w:color w:val="000000" w:themeColor="text1"/>
        </w:rPr>
        <w:t>Adaptating</w:t>
      </w:r>
      <w:proofErr w:type="spellEnd"/>
      <w:r w:rsidRPr="00E3535F">
        <w:rPr>
          <w:color w:val="000000" w:themeColor="text1"/>
        </w:rPr>
        <w:t xml:space="preserve"> the </w:t>
      </w:r>
      <w:proofErr w:type="spellStart"/>
      <w:r w:rsidRPr="00E3535F">
        <w:rPr>
          <w:color w:val="000000" w:themeColor="text1"/>
        </w:rPr>
        <w:t>levenshtein</w:t>
      </w:r>
      <w:proofErr w:type="spellEnd"/>
      <w:r w:rsidRPr="00E3535F">
        <w:rPr>
          <w:color w:val="000000" w:themeColor="text1"/>
        </w:rPr>
        <w:t xml:space="preserve"> distance to contextual spelling correction. </w:t>
      </w:r>
      <w:r w:rsidRPr="00E3535F">
        <w:rPr>
          <w:i/>
          <w:iCs/>
          <w:color w:val="000000" w:themeColor="text1"/>
        </w:rPr>
        <w:t>International Journal of Computer Science and Applications</w:t>
      </w:r>
      <w:r w:rsidRPr="00E3535F">
        <w:rPr>
          <w:color w:val="000000" w:themeColor="text1"/>
        </w:rPr>
        <w:t>, </w:t>
      </w:r>
      <w:r w:rsidRPr="00E3535F">
        <w:rPr>
          <w:i/>
          <w:iCs/>
          <w:color w:val="000000" w:themeColor="text1"/>
        </w:rPr>
        <w:t>12</w:t>
      </w:r>
      <w:r w:rsidRPr="00E3535F">
        <w:rPr>
          <w:color w:val="000000" w:themeColor="text1"/>
        </w:rPr>
        <w:t>(1), 127-133.</w:t>
      </w:r>
    </w:p>
    <w:p w14:paraId="71B341CB" w14:textId="77777777" w:rsidR="00462DAF" w:rsidRPr="00E3535F" w:rsidRDefault="00462DAF" w:rsidP="00462DAF">
      <w:pPr>
        <w:spacing w:line="276" w:lineRule="auto"/>
        <w:rPr>
          <w:color w:val="000000" w:themeColor="text1"/>
        </w:rPr>
      </w:pPr>
    </w:p>
    <w:p w14:paraId="45ABE79B" w14:textId="13C3A041" w:rsidR="00156C43" w:rsidRPr="00E3535F" w:rsidRDefault="00156C43" w:rsidP="00462DAF">
      <w:pPr>
        <w:spacing w:line="276" w:lineRule="auto"/>
        <w:rPr>
          <w:color w:val="000000" w:themeColor="text1"/>
        </w:rPr>
      </w:pPr>
      <w:r w:rsidRPr="00E3535F">
        <w:rPr>
          <w:color w:val="000000" w:themeColor="text1"/>
        </w:rPr>
        <w:t>Lindqvist, A. (1981). A note on determinants of household saving behavior. </w:t>
      </w:r>
      <w:r w:rsidRPr="00E3535F">
        <w:rPr>
          <w:i/>
          <w:iCs/>
          <w:color w:val="000000" w:themeColor="text1"/>
        </w:rPr>
        <w:t>Journal of Economic Psychology</w:t>
      </w:r>
      <w:r w:rsidRPr="00E3535F">
        <w:rPr>
          <w:color w:val="000000" w:themeColor="text1"/>
        </w:rPr>
        <w:t>, </w:t>
      </w:r>
      <w:r w:rsidRPr="00E3535F">
        <w:rPr>
          <w:i/>
          <w:iCs/>
          <w:color w:val="000000" w:themeColor="text1"/>
        </w:rPr>
        <w:t>1</w:t>
      </w:r>
      <w:r w:rsidRPr="00E3535F">
        <w:rPr>
          <w:color w:val="000000" w:themeColor="text1"/>
        </w:rPr>
        <w:t>(1), 39–57 </w:t>
      </w:r>
    </w:p>
    <w:p w14:paraId="04B16557" w14:textId="77777777" w:rsidR="00462DAF" w:rsidRPr="00E3535F" w:rsidRDefault="00462DAF" w:rsidP="00462DAF">
      <w:pPr>
        <w:spacing w:line="276" w:lineRule="auto"/>
        <w:rPr>
          <w:color w:val="000000" w:themeColor="text1"/>
        </w:rPr>
      </w:pPr>
    </w:p>
    <w:p w14:paraId="6EE10C2F" w14:textId="71F4412A" w:rsidR="00156C43" w:rsidRDefault="00156C43" w:rsidP="00462DAF">
      <w:pPr>
        <w:spacing w:line="276" w:lineRule="auto"/>
        <w:rPr>
          <w:color w:val="000000" w:themeColor="text1"/>
        </w:rPr>
      </w:pPr>
      <w:r w:rsidRPr="00E3535F">
        <w:rPr>
          <w:color w:val="000000" w:themeColor="text1"/>
        </w:rPr>
        <w:t>Lintner, J. (1965). Security prices, risk, and maximal gains from diversification. </w:t>
      </w:r>
      <w:r w:rsidRPr="00E3535F">
        <w:rPr>
          <w:i/>
          <w:iCs/>
          <w:color w:val="000000" w:themeColor="text1"/>
        </w:rPr>
        <w:t>The Journal of Finance</w:t>
      </w:r>
      <w:r w:rsidRPr="00E3535F">
        <w:rPr>
          <w:color w:val="000000" w:themeColor="text1"/>
        </w:rPr>
        <w:t>, </w:t>
      </w:r>
      <w:r w:rsidRPr="00E3535F">
        <w:rPr>
          <w:i/>
          <w:iCs/>
          <w:color w:val="000000" w:themeColor="text1"/>
        </w:rPr>
        <w:t>20</w:t>
      </w:r>
      <w:r w:rsidRPr="00E3535F">
        <w:rPr>
          <w:color w:val="000000" w:themeColor="text1"/>
        </w:rPr>
        <w:t>(4), 587</w:t>
      </w:r>
      <w:r w:rsidR="00462DAF" w:rsidRPr="00E3535F">
        <w:rPr>
          <w:color w:val="000000" w:themeColor="text1"/>
        </w:rPr>
        <w:t>.</w:t>
      </w:r>
    </w:p>
    <w:p w14:paraId="4274CF36" w14:textId="77777777" w:rsidR="00F53913" w:rsidRDefault="00F53913" w:rsidP="00462DAF">
      <w:pPr>
        <w:spacing w:line="276" w:lineRule="auto"/>
        <w:rPr>
          <w:color w:val="000000" w:themeColor="text1"/>
        </w:rPr>
      </w:pPr>
    </w:p>
    <w:p w14:paraId="2B22D28D" w14:textId="77777777" w:rsidR="00F53913" w:rsidRPr="00E3535F" w:rsidRDefault="00F53913" w:rsidP="00F53913">
      <w:pPr>
        <w:rPr>
          <w:color w:val="000000" w:themeColor="text1"/>
        </w:rPr>
      </w:pPr>
      <w:r w:rsidRPr="00E3535F">
        <w:rPr>
          <w:color w:val="000000" w:themeColor="text1"/>
        </w:rPr>
        <w:t xml:space="preserve">Lusardi, A., Schneider, D., &amp; </w:t>
      </w:r>
      <w:proofErr w:type="spellStart"/>
      <w:r w:rsidRPr="00E3535F">
        <w:rPr>
          <w:color w:val="000000" w:themeColor="text1"/>
        </w:rPr>
        <w:t>Tufano</w:t>
      </w:r>
      <w:proofErr w:type="spellEnd"/>
      <w:r w:rsidRPr="00E3535F">
        <w:rPr>
          <w:color w:val="000000" w:themeColor="text1"/>
        </w:rPr>
        <w:t>, P. (2010). Households@ Risk: A Cross-Country Study of Household Financial Risk. In </w:t>
      </w:r>
      <w:r w:rsidRPr="00E3535F">
        <w:rPr>
          <w:i/>
          <w:iCs/>
          <w:color w:val="000000" w:themeColor="text1"/>
        </w:rPr>
        <w:t>American Economic Association Meeting</w:t>
      </w:r>
      <w:r w:rsidRPr="00E3535F">
        <w:rPr>
          <w:color w:val="000000" w:themeColor="text1"/>
        </w:rPr>
        <w:t>.</w:t>
      </w:r>
    </w:p>
    <w:p w14:paraId="47149004" w14:textId="77777777" w:rsidR="00462DAF" w:rsidRPr="00E3535F" w:rsidRDefault="00462DAF" w:rsidP="00462DAF">
      <w:pPr>
        <w:spacing w:line="276" w:lineRule="auto"/>
        <w:rPr>
          <w:color w:val="000000" w:themeColor="text1"/>
        </w:rPr>
      </w:pPr>
    </w:p>
    <w:p w14:paraId="4A9D4FF9" w14:textId="75BE4A11" w:rsidR="00156C43" w:rsidRPr="00E3535F" w:rsidRDefault="00156C43" w:rsidP="00462DAF">
      <w:pPr>
        <w:spacing w:line="276" w:lineRule="auto"/>
        <w:rPr>
          <w:color w:val="000000" w:themeColor="text1"/>
        </w:rPr>
      </w:pPr>
      <w:r w:rsidRPr="00E3535F">
        <w:rPr>
          <w:color w:val="000000" w:themeColor="text1"/>
        </w:rPr>
        <w:t xml:space="preserve">Marianna Brunetti &amp; Costanza Torricelli (2010) Population age structure and household portfolio choices in </w:t>
      </w:r>
      <w:proofErr w:type="spellStart"/>
      <w:proofErr w:type="gramStart"/>
      <w:r w:rsidRPr="00E3535F">
        <w:rPr>
          <w:color w:val="000000" w:themeColor="text1"/>
        </w:rPr>
        <w:t>Italy,The</w:t>
      </w:r>
      <w:proofErr w:type="spellEnd"/>
      <w:proofErr w:type="gramEnd"/>
      <w:r w:rsidRPr="00E3535F">
        <w:rPr>
          <w:color w:val="000000" w:themeColor="text1"/>
        </w:rPr>
        <w:t xml:space="preserve"> European Journal of Finance, 16:6, 481-502,  </w:t>
      </w:r>
    </w:p>
    <w:p w14:paraId="202C72E0" w14:textId="77777777" w:rsidR="00462DAF" w:rsidRPr="00E3535F" w:rsidRDefault="00462DAF" w:rsidP="00462DAF">
      <w:pPr>
        <w:spacing w:line="276" w:lineRule="auto"/>
        <w:rPr>
          <w:color w:val="000000" w:themeColor="text1"/>
        </w:rPr>
      </w:pPr>
    </w:p>
    <w:p w14:paraId="1011E8B0" w14:textId="7AF5B9DC" w:rsidR="00156C43" w:rsidRPr="00E3535F" w:rsidRDefault="00156C43" w:rsidP="00462DAF">
      <w:pPr>
        <w:spacing w:line="276" w:lineRule="auto"/>
        <w:rPr>
          <w:color w:val="000000" w:themeColor="text1"/>
        </w:rPr>
      </w:pPr>
      <w:r w:rsidRPr="00E3535F">
        <w:rPr>
          <w:color w:val="000000" w:themeColor="text1"/>
        </w:rPr>
        <w:t>Mulder, C.H. Home-ownership and family formation. </w:t>
      </w:r>
      <w:r w:rsidRPr="00E3535F">
        <w:rPr>
          <w:i/>
          <w:iCs/>
          <w:color w:val="000000" w:themeColor="text1"/>
        </w:rPr>
        <w:t>J Housing Built Environ</w:t>
      </w:r>
      <w:r w:rsidRPr="00E3535F">
        <w:rPr>
          <w:color w:val="000000" w:themeColor="text1"/>
        </w:rPr>
        <w:t> </w:t>
      </w:r>
      <w:r w:rsidRPr="00E3535F">
        <w:rPr>
          <w:b/>
          <w:bCs/>
          <w:color w:val="000000" w:themeColor="text1"/>
        </w:rPr>
        <w:t>21, </w:t>
      </w:r>
      <w:r w:rsidRPr="00E3535F">
        <w:rPr>
          <w:color w:val="000000" w:themeColor="text1"/>
        </w:rPr>
        <w:t xml:space="preserve">281–298 (2006). </w:t>
      </w:r>
    </w:p>
    <w:p w14:paraId="7E178557" w14:textId="77777777" w:rsidR="00462DAF" w:rsidRPr="00E3535F" w:rsidRDefault="00462DAF" w:rsidP="00462DAF">
      <w:pPr>
        <w:spacing w:line="276" w:lineRule="auto"/>
        <w:rPr>
          <w:color w:val="000000" w:themeColor="text1"/>
        </w:rPr>
      </w:pPr>
    </w:p>
    <w:p w14:paraId="1A186AA0" w14:textId="6763618D" w:rsidR="00156C43" w:rsidRPr="00E3535F" w:rsidRDefault="00D808CD" w:rsidP="00462DAF">
      <w:pPr>
        <w:spacing w:line="276" w:lineRule="auto"/>
        <w:rPr>
          <w:color w:val="000000" w:themeColor="text1"/>
        </w:rPr>
      </w:pPr>
      <w:hyperlink r:id="rId11" w:history="1">
        <w:r w:rsidR="00156C43" w:rsidRPr="00E3535F">
          <w:rPr>
            <w:rStyle w:val="Hyperlink"/>
            <w:color w:val="000000" w:themeColor="text1"/>
            <w:u w:val="none"/>
          </w:rPr>
          <w:t xml:space="preserve">Nikolai </w:t>
        </w:r>
        <w:proofErr w:type="spellStart"/>
        <w:r w:rsidR="00156C43" w:rsidRPr="00E3535F">
          <w:rPr>
            <w:rStyle w:val="Hyperlink"/>
            <w:color w:val="000000" w:themeColor="text1"/>
            <w:u w:val="none"/>
          </w:rPr>
          <w:t>Roussanov</w:t>
        </w:r>
        <w:proofErr w:type="spellEnd"/>
      </w:hyperlink>
      <w:r w:rsidR="00156C43" w:rsidRPr="00E3535F">
        <w:rPr>
          <w:color w:val="000000" w:themeColor="text1"/>
        </w:rPr>
        <w:t>, </w:t>
      </w:r>
      <w:hyperlink r:id="rId12" w:history="1">
        <w:r w:rsidR="00156C43" w:rsidRPr="00E3535F">
          <w:rPr>
            <w:rStyle w:val="Hyperlink"/>
            <w:color w:val="000000" w:themeColor="text1"/>
            <w:u w:val="none"/>
          </w:rPr>
          <w:t>Pavel Savor</w:t>
        </w:r>
      </w:hyperlink>
      <w:r w:rsidR="00156C43" w:rsidRPr="00E3535F">
        <w:rPr>
          <w:color w:val="000000" w:themeColor="text1"/>
        </w:rPr>
        <w:t> (2014) Marriage and Managers' Attitudes to Risk. Management Science 60(10):2496-2508</w:t>
      </w:r>
    </w:p>
    <w:p w14:paraId="6AA23D4E" w14:textId="77777777" w:rsidR="00462DAF" w:rsidRPr="00E3535F" w:rsidRDefault="00462DAF" w:rsidP="00462DAF">
      <w:pPr>
        <w:spacing w:line="276" w:lineRule="auto"/>
        <w:rPr>
          <w:color w:val="000000" w:themeColor="text1"/>
        </w:rPr>
      </w:pPr>
    </w:p>
    <w:p w14:paraId="35BF48ED" w14:textId="3FE823D5" w:rsidR="00156C43" w:rsidRPr="00E3535F" w:rsidRDefault="00156C43" w:rsidP="00462DAF">
      <w:pPr>
        <w:spacing w:line="276" w:lineRule="auto"/>
        <w:rPr>
          <w:color w:val="000000" w:themeColor="text1"/>
        </w:rPr>
      </w:pPr>
      <w:r w:rsidRPr="00E3535F">
        <w:rPr>
          <w:color w:val="000000" w:themeColor="text1"/>
        </w:rPr>
        <w:t>Salkind, N. J. (2010).  </w:t>
      </w:r>
      <w:r w:rsidRPr="00E3535F">
        <w:rPr>
          <w:i/>
          <w:iCs/>
          <w:color w:val="000000" w:themeColor="text1"/>
        </w:rPr>
        <w:t>Encyclopedia of research design</w:t>
      </w:r>
      <w:r w:rsidRPr="00E3535F">
        <w:rPr>
          <w:color w:val="000000" w:themeColor="text1"/>
        </w:rPr>
        <w:t xml:space="preserve"> (Vols. 1-0). Thousand Oaks, CA: SAGE Publications, Inc. </w:t>
      </w:r>
    </w:p>
    <w:p w14:paraId="47B38668" w14:textId="77777777" w:rsidR="00462DAF" w:rsidRPr="00E3535F" w:rsidRDefault="00462DAF" w:rsidP="00462DAF">
      <w:pPr>
        <w:spacing w:line="276" w:lineRule="auto"/>
        <w:rPr>
          <w:color w:val="000000" w:themeColor="text1"/>
        </w:rPr>
      </w:pPr>
    </w:p>
    <w:p w14:paraId="065D8CE9" w14:textId="6D16C66E" w:rsidR="00156C43" w:rsidRPr="00E3535F" w:rsidRDefault="00156C43" w:rsidP="00462DAF">
      <w:pPr>
        <w:spacing w:line="276" w:lineRule="auto"/>
        <w:rPr>
          <w:color w:val="000000" w:themeColor="text1"/>
        </w:rPr>
      </w:pPr>
      <w:r w:rsidRPr="00E3535F">
        <w:rPr>
          <w:color w:val="000000" w:themeColor="text1"/>
        </w:rPr>
        <w:t xml:space="preserve">Sandra E Black, Paul J Devereux, </w:t>
      </w:r>
      <w:proofErr w:type="spellStart"/>
      <w:r w:rsidRPr="00E3535F">
        <w:rPr>
          <w:color w:val="000000" w:themeColor="text1"/>
        </w:rPr>
        <w:t>Petter</w:t>
      </w:r>
      <w:proofErr w:type="spellEnd"/>
      <w:r w:rsidRPr="00E3535F">
        <w:rPr>
          <w:color w:val="000000" w:themeColor="text1"/>
        </w:rPr>
        <w:t xml:space="preserve"> </w:t>
      </w:r>
      <w:proofErr w:type="spellStart"/>
      <w:r w:rsidRPr="00E3535F">
        <w:rPr>
          <w:color w:val="000000" w:themeColor="text1"/>
        </w:rPr>
        <w:t>Lundborg</w:t>
      </w:r>
      <w:proofErr w:type="spellEnd"/>
      <w:r w:rsidRPr="00E3535F">
        <w:rPr>
          <w:color w:val="000000" w:themeColor="text1"/>
        </w:rPr>
        <w:t xml:space="preserve">, Kaveh </w:t>
      </w:r>
      <w:proofErr w:type="spellStart"/>
      <w:r w:rsidRPr="00E3535F">
        <w:rPr>
          <w:color w:val="000000" w:themeColor="text1"/>
        </w:rPr>
        <w:t>Majlesi</w:t>
      </w:r>
      <w:proofErr w:type="spellEnd"/>
      <w:r w:rsidRPr="00E3535F">
        <w:rPr>
          <w:color w:val="000000" w:themeColor="text1"/>
        </w:rPr>
        <w:t>, Learning to Take Risks? The Effect of Education on Risk-Taking in Financial Markets, </w:t>
      </w:r>
      <w:r w:rsidRPr="00E3535F">
        <w:rPr>
          <w:i/>
          <w:iCs/>
          <w:color w:val="000000" w:themeColor="text1"/>
        </w:rPr>
        <w:t>Review of Finance</w:t>
      </w:r>
      <w:r w:rsidRPr="00E3535F">
        <w:rPr>
          <w:color w:val="000000" w:themeColor="text1"/>
        </w:rPr>
        <w:t>, Volume 22, Issue 3, May 2018, Pages 951–975</w:t>
      </w:r>
    </w:p>
    <w:p w14:paraId="1DC755C9" w14:textId="77777777" w:rsidR="00462DAF" w:rsidRPr="00E3535F" w:rsidRDefault="00462DAF" w:rsidP="00462DAF">
      <w:pPr>
        <w:spacing w:line="276" w:lineRule="auto"/>
        <w:rPr>
          <w:color w:val="000000" w:themeColor="text1"/>
        </w:rPr>
      </w:pPr>
    </w:p>
    <w:p w14:paraId="4DF36DD5" w14:textId="0332C22F" w:rsidR="00156C43" w:rsidRPr="00E3535F" w:rsidRDefault="00156C43" w:rsidP="00462DAF">
      <w:pPr>
        <w:spacing w:line="276" w:lineRule="auto"/>
        <w:rPr>
          <w:color w:val="000000" w:themeColor="text1"/>
        </w:rPr>
      </w:pPr>
      <w:r w:rsidRPr="00E3535F">
        <w:rPr>
          <w:color w:val="000000" w:themeColor="text1"/>
        </w:rPr>
        <w:t xml:space="preserve">Schmitt, D. P., </w:t>
      </w:r>
      <w:proofErr w:type="spellStart"/>
      <w:r w:rsidRPr="00E3535F">
        <w:rPr>
          <w:color w:val="000000" w:themeColor="text1"/>
        </w:rPr>
        <w:t>Allik</w:t>
      </w:r>
      <w:proofErr w:type="spellEnd"/>
      <w:r w:rsidRPr="00E3535F">
        <w:rPr>
          <w:color w:val="000000" w:themeColor="text1"/>
        </w:rPr>
        <w:t>, J., McCrae, R. R., &amp; Benet-Martínez, V. (2007). The geographic distribution of big five personality traits. </w:t>
      </w:r>
      <w:r w:rsidRPr="00E3535F">
        <w:rPr>
          <w:i/>
          <w:iCs/>
          <w:color w:val="000000" w:themeColor="text1"/>
        </w:rPr>
        <w:t>Journal of Cross-Cultural Psychology</w:t>
      </w:r>
      <w:r w:rsidRPr="00E3535F">
        <w:rPr>
          <w:color w:val="000000" w:themeColor="text1"/>
        </w:rPr>
        <w:t>, </w:t>
      </w:r>
      <w:r w:rsidRPr="00E3535F">
        <w:rPr>
          <w:i/>
          <w:iCs/>
          <w:color w:val="000000" w:themeColor="text1"/>
        </w:rPr>
        <w:t>38</w:t>
      </w:r>
      <w:r w:rsidRPr="00E3535F">
        <w:rPr>
          <w:color w:val="000000" w:themeColor="text1"/>
        </w:rPr>
        <w:t xml:space="preserve">(2), 173–212. </w:t>
      </w:r>
    </w:p>
    <w:p w14:paraId="4D504776" w14:textId="77777777" w:rsidR="00462DAF" w:rsidRPr="00E3535F" w:rsidRDefault="00462DAF" w:rsidP="00462DAF">
      <w:pPr>
        <w:spacing w:line="276" w:lineRule="auto"/>
        <w:rPr>
          <w:color w:val="000000" w:themeColor="text1"/>
        </w:rPr>
      </w:pPr>
    </w:p>
    <w:p w14:paraId="0EC95E25" w14:textId="1BD2512A" w:rsidR="00156C43" w:rsidRPr="00E3535F" w:rsidRDefault="00156C43" w:rsidP="00462DAF">
      <w:pPr>
        <w:spacing w:line="276" w:lineRule="auto"/>
        <w:rPr>
          <w:color w:val="000000" w:themeColor="text1"/>
          <w:shd w:val="clear" w:color="auto" w:fill="FFFFFF"/>
        </w:rPr>
      </w:pPr>
      <w:r w:rsidRPr="00E3535F">
        <w:rPr>
          <w:color w:val="000000" w:themeColor="text1"/>
          <w:shd w:val="clear" w:color="auto" w:fill="FFFFFF"/>
        </w:rPr>
        <w:t xml:space="preserve">Schneider, A., </w:t>
      </w:r>
      <w:proofErr w:type="spellStart"/>
      <w:r w:rsidRPr="00E3535F">
        <w:rPr>
          <w:color w:val="000000" w:themeColor="text1"/>
          <w:shd w:val="clear" w:color="auto" w:fill="FFFFFF"/>
        </w:rPr>
        <w:t>Hommel</w:t>
      </w:r>
      <w:proofErr w:type="spellEnd"/>
      <w:r w:rsidRPr="00E3535F">
        <w:rPr>
          <w:color w:val="000000" w:themeColor="text1"/>
          <w:shd w:val="clear" w:color="auto" w:fill="FFFFFF"/>
        </w:rPr>
        <w:t xml:space="preserve">, G., &amp; </w:t>
      </w:r>
      <w:proofErr w:type="spellStart"/>
      <w:r w:rsidRPr="00E3535F">
        <w:rPr>
          <w:color w:val="000000" w:themeColor="text1"/>
          <w:shd w:val="clear" w:color="auto" w:fill="FFFFFF"/>
        </w:rPr>
        <w:t>Blettner</w:t>
      </w:r>
      <w:proofErr w:type="spellEnd"/>
      <w:r w:rsidRPr="00E3535F">
        <w:rPr>
          <w:color w:val="000000" w:themeColor="text1"/>
          <w:shd w:val="clear" w:color="auto" w:fill="FFFFFF"/>
        </w:rPr>
        <w:t>, M. (2010). Linear regression analysis: part 14 of a series on evaluation of scientific publications. </w:t>
      </w:r>
      <w:proofErr w:type="spellStart"/>
      <w:r w:rsidRPr="00E3535F">
        <w:rPr>
          <w:i/>
          <w:iCs/>
          <w:color w:val="000000" w:themeColor="text1"/>
        </w:rPr>
        <w:t>Deutsches</w:t>
      </w:r>
      <w:proofErr w:type="spellEnd"/>
      <w:r w:rsidRPr="00E3535F">
        <w:rPr>
          <w:i/>
          <w:iCs/>
          <w:color w:val="000000" w:themeColor="text1"/>
        </w:rPr>
        <w:t xml:space="preserve"> </w:t>
      </w:r>
      <w:proofErr w:type="spellStart"/>
      <w:r w:rsidRPr="00E3535F">
        <w:rPr>
          <w:i/>
          <w:iCs/>
          <w:color w:val="000000" w:themeColor="text1"/>
        </w:rPr>
        <w:t>Arzteblatt</w:t>
      </w:r>
      <w:proofErr w:type="spellEnd"/>
      <w:r w:rsidRPr="00E3535F">
        <w:rPr>
          <w:i/>
          <w:iCs/>
          <w:color w:val="000000" w:themeColor="text1"/>
        </w:rPr>
        <w:t xml:space="preserve"> international</w:t>
      </w:r>
      <w:r w:rsidRPr="00E3535F">
        <w:rPr>
          <w:color w:val="000000" w:themeColor="text1"/>
          <w:shd w:val="clear" w:color="auto" w:fill="FFFFFF"/>
        </w:rPr>
        <w:t>, </w:t>
      </w:r>
      <w:r w:rsidRPr="00E3535F">
        <w:rPr>
          <w:i/>
          <w:iCs/>
          <w:color w:val="000000" w:themeColor="text1"/>
        </w:rPr>
        <w:t>107</w:t>
      </w:r>
      <w:r w:rsidRPr="00E3535F">
        <w:rPr>
          <w:color w:val="000000" w:themeColor="text1"/>
          <w:shd w:val="clear" w:color="auto" w:fill="FFFFFF"/>
        </w:rPr>
        <w:t xml:space="preserve">(44), 776–782. </w:t>
      </w:r>
    </w:p>
    <w:p w14:paraId="6E8073D3" w14:textId="77777777" w:rsidR="00462DAF" w:rsidRPr="00E3535F" w:rsidRDefault="00462DAF" w:rsidP="00462DAF">
      <w:pPr>
        <w:spacing w:line="276" w:lineRule="auto"/>
        <w:rPr>
          <w:color w:val="000000" w:themeColor="text1"/>
        </w:rPr>
      </w:pPr>
    </w:p>
    <w:p w14:paraId="5E2D7C25" w14:textId="4D38306D" w:rsidR="00156C43" w:rsidRPr="00E3535F" w:rsidRDefault="00156C43" w:rsidP="00462DAF">
      <w:pPr>
        <w:spacing w:line="276" w:lineRule="auto"/>
        <w:rPr>
          <w:color w:val="000000" w:themeColor="text1"/>
        </w:rPr>
      </w:pPr>
      <w:r w:rsidRPr="00E3535F">
        <w:rPr>
          <w:color w:val="000000" w:themeColor="text1"/>
        </w:rPr>
        <w:t>Sharpe, W. F. (1964). Capital asset prices: A theory of market equilibrium under conditions of risk. </w:t>
      </w:r>
      <w:r w:rsidRPr="00E3535F">
        <w:rPr>
          <w:i/>
          <w:iCs/>
          <w:color w:val="000000" w:themeColor="text1"/>
        </w:rPr>
        <w:t>The Journal of Finance</w:t>
      </w:r>
      <w:r w:rsidRPr="00E3535F">
        <w:rPr>
          <w:color w:val="000000" w:themeColor="text1"/>
        </w:rPr>
        <w:t>, </w:t>
      </w:r>
      <w:r w:rsidRPr="00E3535F">
        <w:rPr>
          <w:i/>
          <w:iCs/>
          <w:color w:val="000000" w:themeColor="text1"/>
        </w:rPr>
        <w:t>19</w:t>
      </w:r>
      <w:r w:rsidRPr="00E3535F">
        <w:rPr>
          <w:color w:val="000000" w:themeColor="text1"/>
        </w:rPr>
        <w:t xml:space="preserve">(3), 425. </w:t>
      </w:r>
    </w:p>
    <w:p w14:paraId="7B2B9BD2" w14:textId="77777777" w:rsidR="00462DAF" w:rsidRPr="00E3535F" w:rsidRDefault="00462DAF" w:rsidP="00462DAF">
      <w:pPr>
        <w:spacing w:line="276" w:lineRule="auto"/>
        <w:rPr>
          <w:color w:val="000000" w:themeColor="text1"/>
        </w:rPr>
      </w:pPr>
    </w:p>
    <w:p w14:paraId="120074F4" w14:textId="7FA6ADF8" w:rsidR="00156C43" w:rsidRPr="00E3535F" w:rsidRDefault="00156C43" w:rsidP="00462DAF">
      <w:pPr>
        <w:spacing w:line="276" w:lineRule="auto"/>
        <w:rPr>
          <w:color w:val="000000" w:themeColor="text1"/>
        </w:rPr>
      </w:pPr>
      <w:r w:rsidRPr="00E3535F">
        <w:rPr>
          <w:color w:val="000000" w:themeColor="text1"/>
        </w:rPr>
        <w:t>Shaw, K. L. (1996). An empirical analysis of risk aversion and income growth. </w:t>
      </w:r>
      <w:r w:rsidRPr="00E3535F">
        <w:rPr>
          <w:i/>
          <w:iCs/>
          <w:color w:val="000000" w:themeColor="text1"/>
        </w:rPr>
        <w:t>Journal of Labor Economics</w:t>
      </w:r>
      <w:r w:rsidRPr="00E3535F">
        <w:rPr>
          <w:color w:val="000000" w:themeColor="text1"/>
        </w:rPr>
        <w:t>, </w:t>
      </w:r>
      <w:r w:rsidRPr="00E3535F">
        <w:rPr>
          <w:i/>
          <w:iCs/>
          <w:color w:val="000000" w:themeColor="text1"/>
        </w:rPr>
        <w:t>14</w:t>
      </w:r>
      <w:r w:rsidRPr="00E3535F">
        <w:rPr>
          <w:color w:val="000000" w:themeColor="text1"/>
        </w:rPr>
        <w:t xml:space="preserve">(4), 626–653. </w:t>
      </w:r>
    </w:p>
    <w:p w14:paraId="1C14B6D0" w14:textId="77777777" w:rsidR="00462DAF" w:rsidRPr="00E3535F" w:rsidRDefault="00462DAF" w:rsidP="00462DAF">
      <w:pPr>
        <w:spacing w:line="276" w:lineRule="auto"/>
        <w:rPr>
          <w:color w:val="000000" w:themeColor="text1"/>
        </w:rPr>
      </w:pPr>
    </w:p>
    <w:p w14:paraId="3693827E" w14:textId="0C98B757" w:rsidR="00156C43" w:rsidRPr="00E3535F" w:rsidRDefault="00156C43" w:rsidP="00462DAF">
      <w:pPr>
        <w:spacing w:line="276" w:lineRule="auto"/>
        <w:rPr>
          <w:color w:val="000000" w:themeColor="text1"/>
        </w:rPr>
      </w:pPr>
      <w:r w:rsidRPr="00E3535F">
        <w:rPr>
          <w:color w:val="000000" w:themeColor="text1"/>
        </w:rPr>
        <w:t>Sherman, H., &amp; Rui, Y. (2005). The effect of gender and marital status on financial risk tolerance. </w:t>
      </w:r>
      <w:r w:rsidRPr="00E3535F">
        <w:rPr>
          <w:i/>
          <w:iCs/>
          <w:color w:val="000000" w:themeColor="text1"/>
        </w:rPr>
        <w:t>Journal of Personal Finance</w:t>
      </w:r>
      <w:r w:rsidRPr="00E3535F">
        <w:rPr>
          <w:color w:val="000000" w:themeColor="text1"/>
        </w:rPr>
        <w:t>, </w:t>
      </w:r>
      <w:r w:rsidRPr="00E3535F">
        <w:rPr>
          <w:i/>
          <w:iCs/>
          <w:color w:val="000000" w:themeColor="text1"/>
        </w:rPr>
        <w:t>4</w:t>
      </w:r>
      <w:r w:rsidRPr="00E3535F">
        <w:rPr>
          <w:color w:val="000000" w:themeColor="text1"/>
        </w:rPr>
        <w:t>(1), 66–85. </w:t>
      </w:r>
    </w:p>
    <w:p w14:paraId="59BE42F2" w14:textId="77777777" w:rsidR="00462DAF" w:rsidRPr="00E3535F" w:rsidRDefault="00462DAF" w:rsidP="00462DAF">
      <w:pPr>
        <w:spacing w:line="276" w:lineRule="auto"/>
        <w:rPr>
          <w:color w:val="000000" w:themeColor="text1"/>
        </w:rPr>
      </w:pPr>
    </w:p>
    <w:p w14:paraId="5401EB0C" w14:textId="386D0445" w:rsidR="00156C43" w:rsidRPr="00E3535F" w:rsidRDefault="00156C43" w:rsidP="00462DAF">
      <w:pPr>
        <w:spacing w:line="276" w:lineRule="auto"/>
        <w:rPr>
          <w:color w:val="000000" w:themeColor="text1"/>
        </w:rPr>
      </w:pPr>
      <w:r w:rsidRPr="00E3535F">
        <w:rPr>
          <w:color w:val="000000" w:themeColor="text1"/>
        </w:rPr>
        <w:t xml:space="preserve">Shiller, R. (2007). Understanding recent trends in house prices and home ownership. </w:t>
      </w:r>
      <w:r w:rsidRPr="00E3535F">
        <w:rPr>
          <w:i/>
          <w:iCs/>
          <w:color w:val="000000" w:themeColor="text1"/>
        </w:rPr>
        <w:t xml:space="preserve">National Bureau of Economic Research, </w:t>
      </w:r>
      <w:r w:rsidRPr="00E3535F">
        <w:rPr>
          <w:color w:val="000000" w:themeColor="text1"/>
        </w:rPr>
        <w:t>Pages 89-123</w:t>
      </w:r>
      <w:r w:rsidRPr="00E3535F">
        <w:rPr>
          <w:i/>
          <w:iCs/>
          <w:color w:val="000000" w:themeColor="text1"/>
        </w:rPr>
        <w:t xml:space="preserve"> </w:t>
      </w:r>
    </w:p>
    <w:p w14:paraId="72231081" w14:textId="77777777" w:rsidR="00462DAF" w:rsidRPr="00E3535F" w:rsidRDefault="00462DAF" w:rsidP="00462DAF">
      <w:pPr>
        <w:spacing w:line="276" w:lineRule="auto"/>
        <w:rPr>
          <w:color w:val="000000" w:themeColor="text1"/>
        </w:rPr>
      </w:pPr>
    </w:p>
    <w:p w14:paraId="68A30BF1" w14:textId="116094B5" w:rsidR="00156C43" w:rsidRPr="00E3535F" w:rsidRDefault="00156C43" w:rsidP="00462DAF">
      <w:pPr>
        <w:spacing w:line="276" w:lineRule="auto"/>
        <w:rPr>
          <w:color w:val="000000" w:themeColor="text1"/>
        </w:rPr>
      </w:pPr>
      <w:r w:rsidRPr="00E3535F">
        <w:rPr>
          <w:color w:val="000000" w:themeColor="text1"/>
        </w:rPr>
        <w:t xml:space="preserve">Singh, </w:t>
      </w:r>
      <w:proofErr w:type="spellStart"/>
      <w:r w:rsidRPr="00E3535F">
        <w:rPr>
          <w:color w:val="000000" w:themeColor="text1"/>
        </w:rPr>
        <w:t>Prabhjot</w:t>
      </w:r>
      <w:proofErr w:type="spellEnd"/>
      <w:r w:rsidRPr="00E3535F">
        <w:rPr>
          <w:color w:val="000000" w:themeColor="text1"/>
        </w:rPr>
        <w:t xml:space="preserve"> &amp; Dhawan, </w:t>
      </w:r>
      <w:proofErr w:type="spellStart"/>
      <w:r w:rsidRPr="00E3535F">
        <w:rPr>
          <w:color w:val="000000" w:themeColor="text1"/>
        </w:rPr>
        <w:t>Sumit</w:t>
      </w:r>
      <w:proofErr w:type="spellEnd"/>
      <w:r w:rsidRPr="00E3535F">
        <w:rPr>
          <w:color w:val="000000" w:themeColor="text1"/>
        </w:rPr>
        <w:t xml:space="preserve"> &amp; Agarwal, Shubham &amp; Thakur, Dr. </w:t>
      </w:r>
      <w:proofErr w:type="spellStart"/>
      <w:r w:rsidRPr="00E3535F">
        <w:rPr>
          <w:color w:val="000000" w:themeColor="text1"/>
        </w:rPr>
        <w:t>Narina</w:t>
      </w:r>
      <w:proofErr w:type="spellEnd"/>
      <w:r w:rsidRPr="00E3535F">
        <w:rPr>
          <w:color w:val="000000" w:themeColor="text1"/>
        </w:rPr>
        <w:t xml:space="preserve">. (2015). Implementation of an efficient Fuzzy Logic based Information Retrieval System. EAI </w:t>
      </w:r>
      <w:r w:rsidRPr="00E3535F">
        <w:rPr>
          <w:i/>
          <w:iCs/>
          <w:color w:val="000000" w:themeColor="text1"/>
        </w:rPr>
        <w:t>Endorsed Transactions on Scalable Information Systems</w:t>
      </w:r>
      <w:r w:rsidRPr="00E3535F">
        <w:rPr>
          <w:color w:val="000000" w:themeColor="text1"/>
        </w:rPr>
        <w:t>. 2. 10</w:t>
      </w:r>
    </w:p>
    <w:p w14:paraId="4135A504" w14:textId="77777777" w:rsidR="00462DAF" w:rsidRPr="00E3535F" w:rsidRDefault="00462DAF" w:rsidP="00462DAF">
      <w:pPr>
        <w:spacing w:line="276" w:lineRule="auto"/>
        <w:rPr>
          <w:color w:val="000000" w:themeColor="text1"/>
        </w:rPr>
      </w:pPr>
    </w:p>
    <w:p w14:paraId="520DFB8F" w14:textId="4949AA9A" w:rsidR="00156C43" w:rsidRPr="00E3535F" w:rsidRDefault="00156C43" w:rsidP="00462DAF">
      <w:pPr>
        <w:spacing w:line="276" w:lineRule="auto"/>
        <w:rPr>
          <w:color w:val="000000" w:themeColor="text1"/>
        </w:rPr>
      </w:pPr>
      <w:proofErr w:type="spellStart"/>
      <w:r w:rsidRPr="00E3535F">
        <w:rPr>
          <w:color w:val="000000" w:themeColor="text1"/>
        </w:rPr>
        <w:t>Sodini</w:t>
      </w:r>
      <w:proofErr w:type="spellEnd"/>
      <w:r w:rsidRPr="00E3535F">
        <w:rPr>
          <w:color w:val="000000" w:themeColor="text1"/>
        </w:rPr>
        <w:t xml:space="preserve">, P., Van </w:t>
      </w:r>
      <w:proofErr w:type="spellStart"/>
      <w:r w:rsidRPr="00E3535F">
        <w:rPr>
          <w:color w:val="000000" w:themeColor="text1"/>
        </w:rPr>
        <w:t>Nieuwerburgh</w:t>
      </w:r>
      <w:proofErr w:type="spellEnd"/>
      <w:r w:rsidRPr="00E3535F">
        <w:rPr>
          <w:color w:val="000000" w:themeColor="text1"/>
        </w:rPr>
        <w:t xml:space="preserve">, S., </w:t>
      </w:r>
      <w:proofErr w:type="spellStart"/>
      <w:r w:rsidRPr="00E3535F">
        <w:rPr>
          <w:color w:val="000000" w:themeColor="text1"/>
        </w:rPr>
        <w:t>Vestman</w:t>
      </w:r>
      <w:proofErr w:type="spellEnd"/>
      <w:r w:rsidRPr="00E3535F">
        <w:rPr>
          <w:color w:val="000000" w:themeColor="text1"/>
        </w:rPr>
        <w:t>, R., &amp; von Lilienfeld-</w:t>
      </w:r>
      <w:proofErr w:type="spellStart"/>
      <w:r w:rsidRPr="00E3535F">
        <w:rPr>
          <w:color w:val="000000" w:themeColor="text1"/>
        </w:rPr>
        <w:t>Toal</w:t>
      </w:r>
      <w:proofErr w:type="spellEnd"/>
      <w:r w:rsidRPr="00E3535F">
        <w:rPr>
          <w:color w:val="000000" w:themeColor="text1"/>
        </w:rPr>
        <w:t xml:space="preserve">, U.  (2021). Identifying the Benefits from Homeownership: A Swedish Experiment. </w:t>
      </w:r>
      <w:r w:rsidRPr="00E3535F">
        <w:rPr>
          <w:i/>
          <w:iCs/>
          <w:color w:val="000000" w:themeColor="text1"/>
        </w:rPr>
        <w:t xml:space="preserve">National Bureau of Economic Research, </w:t>
      </w:r>
      <w:r w:rsidRPr="00E3535F">
        <w:rPr>
          <w:color w:val="000000" w:themeColor="text1"/>
        </w:rPr>
        <w:t>Pages 89-123</w:t>
      </w:r>
      <w:r w:rsidRPr="00E3535F">
        <w:rPr>
          <w:i/>
          <w:iCs/>
          <w:color w:val="000000" w:themeColor="text1"/>
        </w:rPr>
        <w:t xml:space="preserve"> </w:t>
      </w:r>
    </w:p>
    <w:p w14:paraId="582FF514" w14:textId="77777777" w:rsidR="00462DAF" w:rsidRPr="00E3535F" w:rsidRDefault="00462DAF" w:rsidP="00462DAF">
      <w:pPr>
        <w:spacing w:line="276" w:lineRule="auto"/>
        <w:rPr>
          <w:color w:val="000000" w:themeColor="text1"/>
        </w:rPr>
      </w:pPr>
    </w:p>
    <w:p w14:paraId="7D788313" w14:textId="77777777" w:rsidR="00156C43" w:rsidRPr="00E3535F" w:rsidRDefault="00156C43" w:rsidP="00462DAF">
      <w:pPr>
        <w:spacing w:line="276" w:lineRule="auto"/>
        <w:rPr>
          <w:color w:val="000000" w:themeColor="text1"/>
        </w:rPr>
      </w:pPr>
      <w:proofErr w:type="spellStart"/>
      <w:r w:rsidRPr="00E3535F">
        <w:rPr>
          <w:color w:val="000000" w:themeColor="text1"/>
        </w:rPr>
        <w:t>Su</w:t>
      </w:r>
      <w:proofErr w:type="spellEnd"/>
      <w:r w:rsidRPr="00E3535F">
        <w:rPr>
          <w:color w:val="000000" w:themeColor="text1"/>
        </w:rPr>
        <w:t xml:space="preserve">, Z., </w:t>
      </w:r>
      <w:proofErr w:type="spellStart"/>
      <w:r w:rsidRPr="00E3535F">
        <w:rPr>
          <w:color w:val="000000" w:themeColor="text1"/>
        </w:rPr>
        <w:t>Ahn</w:t>
      </w:r>
      <w:proofErr w:type="spellEnd"/>
      <w:r w:rsidRPr="00E3535F">
        <w:rPr>
          <w:color w:val="000000" w:themeColor="text1"/>
        </w:rPr>
        <w:t xml:space="preserve">, B. R., </w:t>
      </w:r>
      <w:proofErr w:type="spellStart"/>
      <w:r w:rsidRPr="00E3535F">
        <w:rPr>
          <w:color w:val="000000" w:themeColor="text1"/>
        </w:rPr>
        <w:t>Eom</w:t>
      </w:r>
      <w:proofErr w:type="spellEnd"/>
      <w:r w:rsidRPr="00E3535F">
        <w:rPr>
          <w:color w:val="000000" w:themeColor="text1"/>
        </w:rPr>
        <w:t xml:space="preserve">, K. Y., Kang, M. K., Kim, J. P., &amp; Kim, M. K. (2008, June). Plagiarism detection using the </w:t>
      </w:r>
      <w:proofErr w:type="spellStart"/>
      <w:r w:rsidRPr="00E3535F">
        <w:rPr>
          <w:color w:val="000000" w:themeColor="text1"/>
        </w:rPr>
        <w:t>Levenshtein</w:t>
      </w:r>
      <w:proofErr w:type="spellEnd"/>
      <w:r w:rsidRPr="00E3535F">
        <w:rPr>
          <w:color w:val="000000" w:themeColor="text1"/>
        </w:rPr>
        <w:t xml:space="preserve"> distance and Smith-Waterman algorithm. In </w:t>
      </w:r>
      <w:r w:rsidRPr="00E3535F">
        <w:rPr>
          <w:i/>
          <w:iCs/>
          <w:color w:val="000000" w:themeColor="text1"/>
        </w:rPr>
        <w:t>2008 3rd International Conference on Innovative Computing Information and Control</w:t>
      </w:r>
      <w:r w:rsidRPr="00E3535F">
        <w:rPr>
          <w:color w:val="000000" w:themeColor="text1"/>
        </w:rPr>
        <w:t> (pp. 569-569). IEEE.</w:t>
      </w:r>
    </w:p>
    <w:p w14:paraId="79E25030" w14:textId="77777777" w:rsidR="00190652" w:rsidRPr="00E3535F" w:rsidRDefault="00190652" w:rsidP="00462DAF">
      <w:pPr>
        <w:spacing w:line="276" w:lineRule="auto"/>
      </w:pPr>
    </w:p>
    <w:p w14:paraId="345DF165" w14:textId="77777777" w:rsidR="007B4250" w:rsidRPr="00E3535F" w:rsidRDefault="007B4250" w:rsidP="00462DAF">
      <w:pPr>
        <w:spacing w:line="276" w:lineRule="auto"/>
      </w:pPr>
    </w:p>
    <w:p w14:paraId="66A64E4F" w14:textId="77777777" w:rsidR="0089688C" w:rsidRPr="00A63A8D" w:rsidRDefault="0089688C" w:rsidP="00A63A8D">
      <w:pPr>
        <w:spacing w:line="276" w:lineRule="auto"/>
      </w:pPr>
    </w:p>
    <w:p w14:paraId="1FE2F716" w14:textId="77777777" w:rsidR="00C608D9" w:rsidRPr="004327FF" w:rsidRDefault="00C608D9" w:rsidP="00156C43">
      <w:pPr>
        <w:spacing w:line="360" w:lineRule="auto"/>
        <w:rPr>
          <w:b/>
          <w:bCs/>
        </w:rPr>
      </w:pPr>
    </w:p>
    <w:sectPr w:rsidR="00C608D9" w:rsidRPr="004327FF" w:rsidSect="00D7513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8AE07" w14:textId="77777777" w:rsidR="00D808CD" w:rsidRDefault="00D808CD" w:rsidP="00C608D9">
      <w:r>
        <w:separator/>
      </w:r>
    </w:p>
  </w:endnote>
  <w:endnote w:type="continuationSeparator" w:id="0">
    <w:p w14:paraId="4D9F82AF" w14:textId="77777777" w:rsidR="00D808CD" w:rsidRDefault="00D808CD" w:rsidP="00C6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0F27" w14:textId="21082205" w:rsidR="004C3917" w:rsidRDefault="004C3917">
    <w:pPr>
      <w:pStyle w:val="Footer"/>
    </w:pPr>
  </w:p>
  <w:p w14:paraId="500DCB58" w14:textId="77777777" w:rsidR="004C3917" w:rsidRDefault="004C3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58EC" w14:textId="77777777" w:rsidR="00D808CD" w:rsidRDefault="00D808CD" w:rsidP="00C608D9">
      <w:r>
        <w:separator/>
      </w:r>
    </w:p>
  </w:footnote>
  <w:footnote w:type="continuationSeparator" w:id="0">
    <w:p w14:paraId="2E850E46" w14:textId="77777777" w:rsidR="00D808CD" w:rsidRDefault="00D808CD" w:rsidP="00C6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367609"/>
      <w:docPartObj>
        <w:docPartGallery w:val="Page Numbers (Top of Page)"/>
        <w:docPartUnique/>
      </w:docPartObj>
    </w:sdtPr>
    <w:sdtEndPr>
      <w:rPr>
        <w:rStyle w:val="PageNumber"/>
      </w:rPr>
    </w:sdtEndPr>
    <w:sdtContent>
      <w:p w14:paraId="67FF2FE7" w14:textId="29F50E8A" w:rsidR="00C608D9" w:rsidRDefault="00C608D9" w:rsidP="00FA07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96747A" w14:textId="77777777" w:rsidR="00C608D9" w:rsidRDefault="00C608D9" w:rsidP="00C608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6836148"/>
      <w:docPartObj>
        <w:docPartGallery w:val="Page Numbers (Top of Page)"/>
        <w:docPartUnique/>
      </w:docPartObj>
    </w:sdtPr>
    <w:sdtEndPr>
      <w:rPr>
        <w:rStyle w:val="PageNumber"/>
      </w:rPr>
    </w:sdtEndPr>
    <w:sdtContent>
      <w:p w14:paraId="38D7F79C" w14:textId="7FA6B9EC" w:rsidR="00C608D9" w:rsidRDefault="00C608D9" w:rsidP="00FA07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FC4461" w14:textId="0478413D" w:rsidR="00C608D9" w:rsidRPr="004C3917" w:rsidRDefault="004C3917" w:rsidP="004C3917">
    <w:pPr>
      <w:pStyle w:val="Header"/>
      <w:ind w:right="360"/>
      <w:jc w:val="center"/>
      <w:rPr>
        <w:b/>
        <w:bCs/>
        <w:color w:val="000000" w:themeColor="text1"/>
      </w:rPr>
    </w:pPr>
    <w:r w:rsidRPr="004C3917">
      <w:rPr>
        <w:b/>
        <w:bCs/>
        <w:color w:val="000000" w:themeColor="text1"/>
      </w:rPr>
      <w:t xml:space="preserve">Who Are the </w:t>
    </w:r>
    <w:proofErr w:type="spellStart"/>
    <w:r w:rsidRPr="004C3917">
      <w:rPr>
        <w:b/>
        <w:bCs/>
        <w:color w:val="000000" w:themeColor="text1"/>
      </w:rPr>
      <w:t>Fama</w:t>
    </w:r>
    <w:proofErr w:type="spellEnd"/>
    <w:r w:rsidRPr="004C3917">
      <w:rPr>
        <w:b/>
        <w:bCs/>
        <w:color w:val="000000" w:themeColor="text1"/>
      </w:rPr>
      <w:t>-French Investors?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6BC"/>
    <w:multiLevelType w:val="hybridMultilevel"/>
    <w:tmpl w:val="A8DED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07943"/>
    <w:multiLevelType w:val="hybridMultilevel"/>
    <w:tmpl w:val="9BE06EAE"/>
    <w:lvl w:ilvl="0" w:tplc="FEF6DE5A">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B67276B"/>
    <w:multiLevelType w:val="multilevel"/>
    <w:tmpl w:val="FB9648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582939">
    <w:abstractNumId w:val="0"/>
  </w:num>
  <w:num w:numId="2" w16cid:durableId="706225014">
    <w:abstractNumId w:val="1"/>
  </w:num>
  <w:num w:numId="3" w16cid:durableId="537547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2E"/>
    <w:rsid w:val="00003CC8"/>
    <w:rsid w:val="00006DED"/>
    <w:rsid w:val="00007472"/>
    <w:rsid w:val="000138B7"/>
    <w:rsid w:val="0002068F"/>
    <w:rsid w:val="00022FAE"/>
    <w:rsid w:val="00025267"/>
    <w:rsid w:val="00026A78"/>
    <w:rsid w:val="00034D67"/>
    <w:rsid w:val="0004106C"/>
    <w:rsid w:val="00041F52"/>
    <w:rsid w:val="000441EF"/>
    <w:rsid w:val="00045DB2"/>
    <w:rsid w:val="00051624"/>
    <w:rsid w:val="0005473C"/>
    <w:rsid w:val="00067BB3"/>
    <w:rsid w:val="00070CBA"/>
    <w:rsid w:val="000832A0"/>
    <w:rsid w:val="00084393"/>
    <w:rsid w:val="00084E97"/>
    <w:rsid w:val="00086A2F"/>
    <w:rsid w:val="0009257F"/>
    <w:rsid w:val="00092F23"/>
    <w:rsid w:val="00095664"/>
    <w:rsid w:val="000A6125"/>
    <w:rsid w:val="000A662A"/>
    <w:rsid w:val="000A6E41"/>
    <w:rsid w:val="000C5986"/>
    <w:rsid w:val="000C7E43"/>
    <w:rsid w:val="000D5D3B"/>
    <w:rsid w:val="000E0F91"/>
    <w:rsid w:val="000E2C48"/>
    <w:rsid w:val="000E3083"/>
    <w:rsid w:val="000E42A8"/>
    <w:rsid w:val="000F702A"/>
    <w:rsid w:val="000F7229"/>
    <w:rsid w:val="000F7666"/>
    <w:rsid w:val="000F7E24"/>
    <w:rsid w:val="0011645B"/>
    <w:rsid w:val="00125101"/>
    <w:rsid w:val="0012720E"/>
    <w:rsid w:val="00137C44"/>
    <w:rsid w:val="00152092"/>
    <w:rsid w:val="0015395C"/>
    <w:rsid w:val="00156C43"/>
    <w:rsid w:val="0016423E"/>
    <w:rsid w:val="00176153"/>
    <w:rsid w:val="001847A2"/>
    <w:rsid w:val="00184BE1"/>
    <w:rsid w:val="00190652"/>
    <w:rsid w:val="001907BA"/>
    <w:rsid w:val="00195421"/>
    <w:rsid w:val="001A0482"/>
    <w:rsid w:val="001A3AE5"/>
    <w:rsid w:val="001B17E3"/>
    <w:rsid w:val="001B4FFC"/>
    <w:rsid w:val="001B6C64"/>
    <w:rsid w:val="001C142B"/>
    <w:rsid w:val="001C2413"/>
    <w:rsid w:val="001C2531"/>
    <w:rsid w:val="001C3F09"/>
    <w:rsid w:val="001D09A3"/>
    <w:rsid w:val="001D50D6"/>
    <w:rsid w:val="001D590E"/>
    <w:rsid w:val="001E0348"/>
    <w:rsid w:val="001E13AF"/>
    <w:rsid w:val="001E3905"/>
    <w:rsid w:val="001E55F3"/>
    <w:rsid w:val="001E7C92"/>
    <w:rsid w:val="00207623"/>
    <w:rsid w:val="00215422"/>
    <w:rsid w:val="00221549"/>
    <w:rsid w:val="0022709B"/>
    <w:rsid w:val="00255C69"/>
    <w:rsid w:val="00257669"/>
    <w:rsid w:val="0026686A"/>
    <w:rsid w:val="00267350"/>
    <w:rsid w:val="00267ADE"/>
    <w:rsid w:val="00273B1C"/>
    <w:rsid w:val="0027532F"/>
    <w:rsid w:val="00280738"/>
    <w:rsid w:val="002925FB"/>
    <w:rsid w:val="002A02E1"/>
    <w:rsid w:val="002A1247"/>
    <w:rsid w:val="002A5040"/>
    <w:rsid w:val="002B061E"/>
    <w:rsid w:val="002B6B3B"/>
    <w:rsid w:val="002B7014"/>
    <w:rsid w:val="002C30E8"/>
    <w:rsid w:val="002C6860"/>
    <w:rsid w:val="002E22BC"/>
    <w:rsid w:val="002E38D3"/>
    <w:rsid w:val="002F297B"/>
    <w:rsid w:val="002F734C"/>
    <w:rsid w:val="003007BC"/>
    <w:rsid w:val="00301953"/>
    <w:rsid w:val="00301B1D"/>
    <w:rsid w:val="003028B8"/>
    <w:rsid w:val="003200BA"/>
    <w:rsid w:val="00323BAC"/>
    <w:rsid w:val="003323FE"/>
    <w:rsid w:val="003354E0"/>
    <w:rsid w:val="00342FDA"/>
    <w:rsid w:val="00343152"/>
    <w:rsid w:val="003433E7"/>
    <w:rsid w:val="00343AF2"/>
    <w:rsid w:val="00354F86"/>
    <w:rsid w:val="00372F36"/>
    <w:rsid w:val="00376110"/>
    <w:rsid w:val="00376762"/>
    <w:rsid w:val="00376A16"/>
    <w:rsid w:val="0038495E"/>
    <w:rsid w:val="00395789"/>
    <w:rsid w:val="003A370A"/>
    <w:rsid w:val="003C08D3"/>
    <w:rsid w:val="003C4C36"/>
    <w:rsid w:val="003C5CBA"/>
    <w:rsid w:val="003D767A"/>
    <w:rsid w:val="003E3725"/>
    <w:rsid w:val="003E41C4"/>
    <w:rsid w:val="003F652B"/>
    <w:rsid w:val="00404686"/>
    <w:rsid w:val="0040484C"/>
    <w:rsid w:val="004056C2"/>
    <w:rsid w:val="004057F1"/>
    <w:rsid w:val="004118D3"/>
    <w:rsid w:val="00413CE0"/>
    <w:rsid w:val="00421DA3"/>
    <w:rsid w:val="0042583A"/>
    <w:rsid w:val="00430422"/>
    <w:rsid w:val="00431219"/>
    <w:rsid w:val="00431A23"/>
    <w:rsid w:val="0043207E"/>
    <w:rsid w:val="004327FF"/>
    <w:rsid w:val="00441001"/>
    <w:rsid w:val="004421B4"/>
    <w:rsid w:val="00444D04"/>
    <w:rsid w:val="00453D45"/>
    <w:rsid w:val="00455449"/>
    <w:rsid w:val="00460022"/>
    <w:rsid w:val="00462DAF"/>
    <w:rsid w:val="00471D29"/>
    <w:rsid w:val="004743C1"/>
    <w:rsid w:val="00483D98"/>
    <w:rsid w:val="004853BF"/>
    <w:rsid w:val="00487574"/>
    <w:rsid w:val="004948D6"/>
    <w:rsid w:val="004A3991"/>
    <w:rsid w:val="004A4E90"/>
    <w:rsid w:val="004A7B72"/>
    <w:rsid w:val="004C3917"/>
    <w:rsid w:val="004D533E"/>
    <w:rsid w:val="004D5EFD"/>
    <w:rsid w:val="004D6FA8"/>
    <w:rsid w:val="0051231F"/>
    <w:rsid w:val="005177D4"/>
    <w:rsid w:val="005212D0"/>
    <w:rsid w:val="00524F20"/>
    <w:rsid w:val="00525FB9"/>
    <w:rsid w:val="00532822"/>
    <w:rsid w:val="00546693"/>
    <w:rsid w:val="00552E90"/>
    <w:rsid w:val="00555E45"/>
    <w:rsid w:val="0055707D"/>
    <w:rsid w:val="00562864"/>
    <w:rsid w:val="005907BA"/>
    <w:rsid w:val="005A65F7"/>
    <w:rsid w:val="005A7DBD"/>
    <w:rsid w:val="005B005B"/>
    <w:rsid w:val="005B1A68"/>
    <w:rsid w:val="005B1CFC"/>
    <w:rsid w:val="005C02C8"/>
    <w:rsid w:val="005C1FD3"/>
    <w:rsid w:val="005C701B"/>
    <w:rsid w:val="005D01A8"/>
    <w:rsid w:val="005D5730"/>
    <w:rsid w:val="005D7E68"/>
    <w:rsid w:val="005E2C92"/>
    <w:rsid w:val="005F0DA9"/>
    <w:rsid w:val="005F797C"/>
    <w:rsid w:val="005F79DC"/>
    <w:rsid w:val="00601C7F"/>
    <w:rsid w:val="0061242A"/>
    <w:rsid w:val="006245D0"/>
    <w:rsid w:val="00631B0D"/>
    <w:rsid w:val="006359EF"/>
    <w:rsid w:val="00653BEF"/>
    <w:rsid w:val="00660018"/>
    <w:rsid w:val="00663120"/>
    <w:rsid w:val="00663612"/>
    <w:rsid w:val="00672D82"/>
    <w:rsid w:val="006760E4"/>
    <w:rsid w:val="006852A8"/>
    <w:rsid w:val="0069099C"/>
    <w:rsid w:val="006B00B8"/>
    <w:rsid w:val="006C6C86"/>
    <w:rsid w:val="006D08B0"/>
    <w:rsid w:val="006D5CFA"/>
    <w:rsid w:val="006D67C0"/>
    <w:rsid w:val="006E2421"/>
    <w:rsid w:val="006E7C5B"/>
    <w:rsid w:val="006F4469"/>
    <w:rsid w:val="006F64C3"/>
    <w:rsid w:val="006F7085"/>
    <w:rsid w:val="007038D4"/>
    <w:rsid w:val="00704392"/>
    <w:rsid w:val="00706AEC"/>
    <w:rsid w:val="00715401"/>
    <w:rsid w:val="0072331A"/>
    <w:rsid w:val="00730F3F"/>
    <w:rsid w:val="007452BF"/>
    <w:rsid w:val="007515E1"/>
    <w:rsid w:val="00751D3B"/>
    <w:rsid w:val="00752D9A"/>
    <w:rsid w:val="007603FE"/>
    <w:rsid w:val="00763458"/>
    <w:rsid w:val="007635EF"/>
    <w:rsid w:val="007705C9"/>
    <w:rsid w:val="0077156A"/>
    <w:rsid w:val="00773193"/>
    <w:rsid w:val="007A152C"/>
    <w:rsid w:val="007B4250"/>
    <w:rsid w:val="007B6A90"/>
    <w:rsid w:val="007B6BA9"/>
    <w:rsid w:val="007C151B"/>
    <w:rsid w:val="007C289F"/>
    <w:rsid w:val="007D351A"/>
    <w:rsid w:val="007D3DF5"/>
    <w:rsid w:val="007D4FFB"/>
    <w:rsid w:val="007E2BB2"/>
    <w:rsid w:val="007E2D6C"/>
    <w:rsid w:val="007E50B4"/>
    <w:rsid w:val="007F19AF"/>
    <w:rsid w:val="00816EFA"/>
    <w:rsid w:val="00820C8D"/>
    <w:rsid w:val="00831803"/>
    <w:rsid w:val="008355AC"/>
    <w:rsid w:val="0084086B"/>
    <w:rsid w:val="00843ADB"/>
    <w:rsid w:val="00844A22"/>
    <w:rsid w:val="00844A40"/>
    <w:rsid w:val="008501B6"/>
    <w:rsid w:val="0085473F"/>
    <w:rsid w:val="00864B41"/>
    <w:rsid w:val="00864F28"/>
    <w:rsid w:val="00865A73"/>
    <w:rsid w:val="00867A29"/>
    <w:rsid w:val="00870137"/>
    <w:rsid w:val="008743FC"/>
    <w:rsid w:val="00874F4D"/>
    <w:rsid w:val="0088009F"/>
    <w:rsid w:val="008808E2"/>
    <w:rsid w:val="008811B8"/>
    <w:rsid w:val="00887BAA"/>
    <w:rsid w:val="0089688C"/>
    <w:rsid w:val="008A01C0"/>
    <w:rsid w:val="008A0CCF"/>
    <w:rsid w:val="008A23FA"/>
    <w:rsid w:val="008B0567"/>
    <w:rsid w:val="008B284F"/>
    <w:rsid w:val="008B38D9"/>
    <w:rsid w:val="008C6BF8"/>
    <w:rsid w:val="008D1116"/>
    <w:rsid w:val="008D511A"/>
    <w:rsid w:val="008E7118"/>
    <w:rsid w:val="008F1A9D"/>
    <w:rsid w:val="008F775D"/>
    <w:rsid w:val="00902A8A"/>
    <w:rsid w:val="00904BA2"/>
    <w:rsid w:val="00913782"/>
    <w:rsid w:val="0091732A"/>
    <w:rsid w:val="00917BCC"/>
    <w:rsid w:val="00930170"/>
    <w:rsid w:val="00931C24"/>
    <w:rsid w:val="00942702"/>
    <w:rsid w:val="00943DC6"/>
    <w:rsid w:val="00944A17"/>
    <w:rsid w:val="00950662"/>
    <w:rsid w:val="00953E10"/>
    <w:rsid w:val="009573B3"/>
    <w:rsid w:val="009645E5"/>
    <w:rsid w:val="0096487C"/>
    <w:rsid w:val="00966E4D"/>
    <w:rsid w:val="00980E09"/>
    <w:rsid w:val="00990742"/>
    <w:rsid w:val="009910B7"/>
    <w:rsid w:val="00995B4B"/>
    <w:rsid w:val="00996DE8"/>
    <w:rsid w:val="009A28F3"/>
    <w:rsid w:val="009A31B8"/>
    <w:rsid w:val="009A76DF"/>
    <w:rsid w:val="009B0126"/>
    <w:rsid w:val="009B24C5"/>
    <w:rsid w:val="009C43D2"/>
    <w:rsid w:val="009C5D6E"/>
    <w:rsid w:val="009C793F"/>
    <w:rsid w:val="009D44FE"/>
    <w:rsid w:val="009D5647"/>
    <w:rsid w:val="009D71A6"/>
    <w:rsid w:val="009E39B2"/>
    <w:rsid w:val="009E491D"/>
    <w:rsid w:val="009E7221"/>
    <w:rsid w:val="009F6CAE"/>
    <w:rsid w:val="009F782E"/>
    <w:rsid w:val="00A03900"/>
    <w:rsid w:val="00A0499A"/>
    <w:rsid w:val="00A11755"/>
    <w:rsid w:val="00A203E0"/>
    <w:rsid w:val="00A22287"/>
    <w:rsid w:val="00A30BB7"/>
    <w:rsid w:val="00A3236E"/>
    <w:rsid w:val="00A34BC7"/>
    <w:rsid w:val="00A47A18"/>
    <w:rsid w:val="00A47BC0"/>
    <w:rsid w:val="00A55796"/>
    <w:rsid w:val="00A63A8D"/>
    <w:rsid w:val="00A65B15"/>
    <w:rsid w:val="00A6687B"/>
    <w:rsid w:val="00A70749"/>
    <w:rsid w:val="00A93E9C"/>
    <w:rsid w:val="00A94C81"/>
    <w:rsid w:val="00AA1E69"/>
    <w:rsid w:val="00AA3214"/>
    <w:rsid w:val="00AC2C9F"/>
    <w:rsid w:val="00AC6C41"/>
    <w:rsid w:val="00AD6E9A"/>
    <w:rsid w:val="00AF5EAB"/>
    <w:rsid w:val="00B0365A"/>
    <w:rsid w:val="00B11793"/>
    <w:rsid w:val="00B15BBA"/>
    <w:rsid w:val="00B16C61"/>
    <w:rsid w:val="00B2021D"/>
    <w:rsid w:val="00B24A31"/>
    <w:rsid w:val="00B35611"/>
    <w:rsid w:val="00B36C98"/>
    <w:rsid w:val="00B40752"/>
    <w:rsid w:val="00B44956"/>
    <w:rsid w:val="00B46091"/>
    <w:rsid w:val="00B6406B"/>
    <w:rsid w:val="00B64E20"/>
    <w:rsid w:val="00B6760D"/>
    <w:rsid w:val="00B81B44"/>
    <w:rsid w:val="00B82F8E"/>
    <w:rsid w:val="00B92506"/>
    <w:rsid w:val="00B92B71"/>
    <w:rsid w:val="00BA2D36"/>
    <w:rsid w:val="00BA4A94"/>
    <w:rsid w:val="00BA64B2"/>
    <w:rsid w:val="00BB2734"/>
    <w:rsid w:val="00BB2B9F"/>
    <w:rsid w:val="00BB393A"/>
    <w:rsid w:val="00BB72CD"/>
    <w:rsid w:val="00BB7A25"/>
    <w:rsid w:val="00BD2868"/>
    <w:rsid w:val="00BD4D27"/>
    <w:rsid w:val="00BD78A6"/>
    <w:rsid w:val="00BE439D"/>
    <w:rsid w:val="00BE5B77"/>
    <w:rsid w:val="00BF03C2"/>
    <w:rsid w:val="00BF7086"/>
    <w:rsid w:val="00C05E66"/>
    <w:rsid w:val="00C077C0"/>
    <w:rsid w:val="00C206E8"/>
    <w:rsid w:val="00C33C76"/>
    <w:rsid w:val="00C40268"/>
    <w:rsid w:val="00C45F34"/>
    <w:rsid w:val="00C5261A"/>
    <w:rsid w:val="00C5480D"/>
    <w:rsid w:val="00C56030"/>
    <w:rsid w:val="00C562EB"/>
    <w:rsid w:val="00C608D9"/>
    <w:rsid w:val="00C64647"/>
    <w:rsid w:val="00C73D97"/>
    <w:rsid w:val="00C76129"/>
    <w:rsid w:val="00C836D1"/>
    <w:rsid w:val="00C838D1"/>
    <w:rsid w:val="00C83FFE"/>
    <w:rsid w:val="00C86825"/>
    <w:rsid w:val="00C9053C"/>
    <w:rsid w:val="00C90D1E"/>
    <w:rsid w:val="00C962F9"/>
    <w:rsid w:val="00CA55C6"/>
    <w:rsid w:val="00CB4342"/>
    <w:rsid w:val="00CC01F5"/>
    <w:rsid w:val="00CD1423"/>
    <w:rsid w:val="00CD331B"/>
    <w:rsid w:val="00CE06A6"/>
    <w:rsid w:val="00CE3EA9"/>
    <w:rsid w:val="00CE5B0F"/>
    <w:rsid w:val="00CE6F0F"/>
    <w:rsid w:val="00CF1860"/>
    <w:rsid w:val="00CF2A7B"/>
    <w:rsid w:val="00CF588F"/>
    <w:rsid w:val="00CF66E9"/>
    <w:rsid w:val="00D00F27"/>
    <w:rsid w:val="00D04294"/>
    <w:rsid w:val="00D05C58"/>
    <w:rsid w:val="00D141B2"/>
    <w:rsid w:val="00D200EB"/>
    <w:rsid w:val="00D45070"/>
    <w:rsid w:val="00D47B82"/>
    <w:rsid w:val="00D55490"/>
    <w:rsid w:val="00D64E24"/>
    <w:rsid w:val="00D66F31"/>
    <w:rsid w:val="00D67B9B"/>
    <w:rsid w:val="00D71326"/>
    <w:rsid w:val="00D75132"/>
    <w:rsid w:val="00D76189"/>
    <w:rsid w:val="00D76864"/>
    <w:rsid w:val="00D76B43"/>
    <w:rsid w:val="00D808CD"/>
    <w:rsid w:val="00D96D67"/>
    <w:rsid w:val="00DA2461"/>
    <w:rsid w:val="00DB2A7D"/>
    <w:rsid w:val="00DC3E44"/>
    <w:rsid w:val="00DD5897"/>
    <w:rsid w:val="00DD6CBE"/>
    <w:rsid w:val="00DE6B6C"/>
    <w:rsid w:val="00DF2BE3"/>
    <w:rsid w:val="00DF7CA7"/>
    <w:rsid w:val="00E02488"/>
    <w:rsid w:val="00E0295D"/>
    <w:rsid w:val="00E04E46"/>
    <w:rsid w:val="00E06299"/>
    <w:rsid w:val="00E12AC9"/>
    <w:rsid w:val="00E148D4"/>
    <w:rsid w:val="00E25FF7"/>
    <w:rsid w:val="00E27CEE"/>
    <w:rsid w:val="00E3535F"/>
    <w:rsid w:val="00E474CF"/>
    <w:rsid w:val="00E54F0D"/>
    <w:rsid w:val="00E5557A"/>
    <w:rsid w:val="00E70FA2"/>
    <w:rsid w:val="00E81A83"/>
    <w:rsid w:val="00E83635"/>
    <w:rsid w:val="00E94AEE"/>
    <w:rsid w:val="00EA01B5"/>
    <w:rsid w:val="00EA56DB"/>
    <w:rsid w:val="00ED61F7"/>
    <w:rsid w:val="00EE31F1"/>
    <w:rsid w:val="00EE5909"/>
    <w:rsid w:val="00EE7141"/>
    <w:rsid w:val="00EF5320"/>
    <w:rsid w:val="00F0687F"/>
    <w:rsid w:val="00F100AA"/>
    <w:rsid w:val="00F17FC0"/>
    <w:rsid w:val="00F20EDD"/>
    <w:rsid w:val="00F21E5D"/>
    <w:rsid w:val="00F22EBC"/>
    <w:rsid w:val="00F25739"/>
    <w:rsid w:val="00F26E07"/>
    <w:rsid w:val="00F27C5E"/>
    <w:rsid w:val="00F310D6"/>
    <w:rsid w:val="00F34956"/>
    <w:rsid w:val="00F3528E"/>
    <w:rsid w:val="00F37245"/>
    <w:rsid w:val="00F4754A"/>
    <w:rsid w:val="00F50E90"/>
    <w:rsid w:val="00F53913"/>
    <w:rsid w:val="00F83B0E"/>
    <w:rsid w:val="00F85F32"/>
    <w:rsid w:val="00F92217"/>
    <w:rsid w:val="00F95E8D"/>
    <w:rsid w:val="00FA3621"/>
    <w:rsid w:val="00FB73AA"/>
    <w:rsid w:val="00FC38C7"/>
    <w:rsid w:val="00FC3F4B"/>
    <w:rsid w:val="00FD0946"/>
    <w:rsid w:val="00FE6395"/>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1DECD"/>
  <w15:chartTrackingRefBased/>
  <w15:docId w15:val="{2B998D2C-B01C-604B-83FA-78502996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E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640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0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82E"/>
    <w:rPr>
      <w:rFonts w:eastAsiaTheme="minorEastAsia"/>
      <w:sz w:val="22"/>
      <w:szCs w:val="22"/>
      <w:lang w:eastAsia="zh-CN"/>
    </w:rPr>
  </w:style>
  <w:style w:type="character" w:customStyle="1" w:styleId="NoSpacingChar">
    <w:name w:val="No Spacing Char"/>
    <w:basedOn w:val="DefaultParagraphFont"/>
    <w:link w:val="NoSpacing"/>
    <w:uiPriority w:val="1"/>
    <w:rsid w:val="009F782E"/>
    <w:rPr>
      <w:rFonts w:eastAsiaTheme="minorEastAsia"/>
      <w:sz w:val="22"/>
      <w:szCs w:val="22"/>
      <w:lang w:val="en-US" w:eastAsia="zh-CN"/>
    </w:rPr>
  </w:style>
  <w:style w:type="paragraph" w:styleId="Header">
    <w:name w:val="header"/>
    <w:basedOn w:val="Normal"/>
    <w:link w:val="HeaderChar"/>
    <w:uiPriority w:val="99"/>
    <w:unhideWhenUsed/>
    <w:rsid w:val="00C608D9"/>
    <w:pPr>
      <w:tabs>
        <w:tab w:val="center" w:pos="4513"/>
        <w:tab w:val="right" w:pos="9026"/>
      </w:tabs>
    </w:pPr>
  </w:style>
  <w:style w:type="character" w:customStyle="1" w:styleId="HeaderChar">
    <w:name w:val="Header Char"/>
    <w:basedOn w:val="DefaultParagraphFont"/>
    <w:link w:val="Header"/>
    <w:uiPriority w:val="99"/>
    <w:rsid w:val="00C608D9"/>
  </w:style>
  <w:style w:type="character" w:styleId="PageNumber">
    <w:name w:val="page number"/>
    <w:basedOn w:val="DefaultParagraphFont"/>
    <w:uiPriority w:val="99"/>
    <w:semiHidden/>
    <w:unhideWhenUsed/>
    <w:rsid w:val="00C608D9"/>
  </w:style>
  <w:style w:type="paragraph" w:styleId="ListParagraph">
    <w:name w:val="List Paragraph"/>
    <w:basedOn w:val="Normal"/>
    <w:uiPriority w:val="34"/>
    <w:qFormat/>
    <w:rsid w:val="00B40752"/>
    <w:pPr>
      <w:ind w:left="720"/>
      <w:contextualSpacing/>
    </w:pPr>
  </w:style>
  <w:style w:type="character" w:customStyle="1" w:styleId="Heading1Char">
    <w:name w:val="Heading 1 Char"/>
    <w:basedOn w:val="DefaultParagraphFont"/>
    <w:link w:val="Heading1"/>
    <w:uiPriority w:val="9"/>
    <w:rsid w:val="00B640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6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16EFA"/>
  </w:style>
  <w:style w:type="character" w:styleId="Hyperlink">
    <w:name w:val="Hyperlink"/>
    <w:basedOn w:val="DefaultParagraphFont"/>
    <w:uiPriority w:val="99"/>
    <w:unhideWhenUsed/>
    <w:rsid w:val="004327FF"/>
    <w:rPr>
      <w:color w:val="0563C1" w:themeColor="hyperlink"/>
      <w:u w:val="single"/>
    </w:rPr>
  </w:style>
  <w:style w:type="character" w:styleId="UnresolvedMention">
    <w:name w:val="Unresolved Mention"/>
    <w:basedOn w:val="DefaultParagraphFont"/>
    <w:uiPriority w:val="99"/>
    <w:semiHidden/>
    <w:unhideWhenUsed/>
    <w:rsid w:val="004327FF"/>
    <w:rPr>
      <w:color w:val="605E5C"/>
      <w:shd w:val="clear" w:color="auto" w:fill="E1DFDD"/>
    </w:rPr>
  </w:style>
  <w:style w:type="paragraph" w:styleId="NormalWeb">
    <w:name w:val="Normal (Web)"/>
    <w:basedOn w:val="Normal"/>
    <w:uiPriority w:val="99"/>
    <w:semiHidden/>
    <w:unhideWhenUsed/>
    <w:rsid w:val="004327FF"/>
    <w:pPr>
      <w:spacing w:before="100" w:beforeAutospacing="1" w:after="100" w:afterAutospacing="1"/>
    </w:pPr>
  </w:style>
  <w:style w:type="character" w:styleId="PlaceholderText">
    <w:name w:val="Placeholder Text"/>
    <w:basedOn w:val="DefaultParagraphFont"/>
    <w:uiPriority w:val="99"/>
    <w:semiHidden/>
    <w:rsid w:val="007A152C"/>
    <w:rPr>
      <w:color w:val="808080"/>
    </w:rPr>
  </w:style>
  <w:style w:type="paragraph" w:styleId="TOCHeading">
    <w:name w:val="TOC Heading"/>
    <w:basedOn w:val="Heading1"/>
    <w:next w:val="Normal"/>
    <w:uiPriority w:val="39"/>
    <w:unhideWhenUsed/>
    <w:qFormat/>
    <w:rsid w:val="000F7229"/>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0F722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F722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0F722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F722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F722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F722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F722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F722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F7229"/>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F702A"/>
    <w:rPr>
      <w:rFonts w:asciiTheme="majorHAnsi" w:eastAsiaTheme="majorEastAsia" w:hAnsiTheme="majorHAnsi" w:cstheme="majorBidi"/>
      <w:color w:val="2F5496" w:themeColor="accent1" w:themeShade="BF"/>
      <w:sz w:val="26"/>
      <w:szCs w:val="26"/>
      <w:lang w:eastAsia="en-GB"/>
    </w:rPr>
  </w:style>
  <w:style w:type="paragraph" w:styleId="Footer">
    <w:name w:val="footer"/>
    <w:basedOn w:val="Normal"/>
    <w:link w:val="FooterChar"/>
    <w:uiPriority w:val="99"/>
    <w:unhideWhenUsed/>
    <w:rsid w:val="004C3917"/>
    <w:pPr>
      <w:tabs>
        <w:tab w:val="center" w:pos="4513"/>
        <w:tab w:val="right" w:pos="9026"/>
      </w:tabs>
    </w:pPr>
  </w:style>
  <w:style w:type="character" w:customStyle="1" w:styleId="FooterChar">
    <w:name w:val="Footer Char"/>
    <w:basedOn w:val="DefaultParagraphFont"/>
    <w:link w:val="Footer"/>
    <w:uiPriority w:val="99"/>
    <w:rsid w:val="004C391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726">
      <w:bodyDiv w:val="1"/>
      <w:marLeft w:val="0"/>
      <w:marRight w:val="0"/>
      <w:marTop w:val="0"/>
      <w:marBottom w:val="0"/>
      <w:divBdr>
        <w:top w:val="none" w:sz="0" w:space="0" w:color="auto"/>
        <w:left w:val="none" w:sz="0" w:space="0" w:color="auto"/>
        <w:bottom w:val="none" w:sz="0" w:space="0" w:color="auto"/>
        <w:right w:val="none" w:sz="0" w:space="0" w:color="auto"/>
      </w:divBdr>
    </w:div>
    <w:div w:id="53816539">
      <w:bodyDiv w:val="1"/>
      <w:marLeft w:val="0"/>
      <w:marRight w:val="0"/>
      <w:marTop w:val="0"/>
      <w:marBottom w:val="0"/>
      <w:divBdr>
        <w:top w:val="none" w:sz="0" w:space="0" w:color="auto"/>
        <w:left w:val="none" w:sz="0" w:space="0" w:color="auto"/>
        <w:bottom w:val="none" w:sz="0" w:space="0" w:color="auto"/>
        <w:right w:val="none" w:sz="0" w:space="0" w:color="auto"/>
      </w:divBdr>
    </w:div>
    <w:div w:id="64568849">
      <w:bodyDiv w:val="1"/>
      <w:marLeft w:val="0"/>
      <w:marRight w:val="0"/>
      <w:marTop w:val="0"/>
      <w:marBottom w:val="0"/>
      <w:divBdr>
        <w:top w:val="none" w:sz="0" w:space="0" w:color="auto"/>
        <w:left w:val="none" w:sz="0" w:space="0" w:color="auto"/>
        <w:bottom w:val="none" w:sz="0" w:space="0" w:color="auto"/>
        <w:right w:val="none" w:sz="0" w:space="0" w:color="auto"/>
      </w:divBdr>
    </w:div>
    <w:div w:id="78135304">
      <w:bodyDiv w:val="1"/>
      <w:marLeft w:val="0"/>
      <w:marRight w:val="0"/>
      <w:marTop w:val="0"/>
      <w:marBottom w:val="0"/>
      <w:divBdr>
        <w:top w:val="none" w:sz="0" w:space="0" w:color="auto"/>
        <w:left w:val="none" w:sz="0" w:space="0" w:color="auto"/>
        <w:bottom w:val="none" w:sz="0" w:space="0" w:color="auto"/>
        <w:right w:val="none" w:sz="0" w:space="0" w:color="auto"/>
      </w:divBdr>
    </w:div>
    <w:div w:id="91704951">
      <w:bodyDiv w:val="1"/>
      <w:marLeft w:val="0"/>
      <w:marRight w:val="0"/>
      <w:marTop w:val="0"/>
      <w:marBottom w:val="0"/>
      <w:divBdr>
        <w:top w:val="none" w:sz="0" w:space="0" w:color="auto"/>
        <w:left w:val="none" w:sz="0" w:space="0" w:color="auto"/>
        <w:bottom w:val="none" w:sz="0" w:space="0" w:color="auto"/>
        <w:right w:val="none" w:sz="0" w:space="0" w:color="auto"/>
      </w:divBdr>
    </w:div>
    <w:div w:id="95754741">
      <w:bodyDiv w:val="1"/>
      <w:marLeft w:val="0"/>
      <w:marRight w:val="0"/>
      <w:marTop w:val="0"/>
      <w:marBottom w:val="0"/>
      <w:divBdr>
        <w:top w:val="none" w:sz="0" w:space="0" w:color="auto"/>
        <w:left w:val="none" w:sz="0" w:space="0" w:color="auto"/>
        <w:bottom w:val="none" w:sz="0" w:space="0" w:color="auto"/>
        <w:right w:val="none" w:sz="0" w:space="0" w:color="auto"/>
      </w:divBdr>
    </w:div>
    <w:div w:id="146172325">
      <w:bodyDiv w:val="1"/>
      <w:marLeft w:val="0"/>
      <w:marRight w:val="0"/>
      <w:marTop w:val="0"/>
      <w:marBottom w:val="0"/>
      <w:divBdr>
        <w:top w:val="none" w:sz="0" w:space="0" w:color="auto"/>
        <w:left w:val="none" w:sz="0" w:space="0" w:color="auto"/>
        <w:bottom w:val="none" w:sz="0" w:space="0" w:color="auto"/>
        <w:right w:val="none" w:sz="0" w:space="0" w:color="auto"/>
      </w:divBdr>
    </w:div>
    <w:div w:id="186451910">
      <w:bodyDiv w:val="1"/>
      <w:marLeft w:val="0"/>
      <w:marRight w:val="0"/>
      <w:marTop w:val="0"/>
      <w:marBottom w:val="0"/>
      <w:divBdr>
        <w:top w:val="none" w:sz="0" w:space="0" w:color="auto"/>
        <w:left w:val="none" w:sz="0" w:space="0" w:color="auto"/>
        <w:bottom w:val="none" w:sz="0" w:space="0" w:color="auto"/>
        <w:right w:val="none" w:sz="0" w:space="0" w:color="auto"/>
      </w:divBdr>
    </w:div>
    <w:div w:id="197355372">
      <w:bodyDiv w:val="1"/>
      <w:marLeft w:val="0"/>
      <w:marRight w:val="0"/>
      <w:marTop w:val="0"/>
      <w:marBottom w:val="0"/>
      <w:divBdr>
        <w:top w:val="none" w:sz="0" w:space="0" w:color="auto"/>
        <w:left w:val="none" w:sz="0" w:space="0" w:color="auto"/>
        <w:bottom w:val="none" w:sz="0" w:space="0" w:color="auto"/>
        <w:right w:val="none" w:sz="0" w:space="0" w:color="auto"/>
      </w:divBdr>
    </w:div>
    <w:div w:id="217788261">
      <w:bodyDiv w:val="1"/>
      <w:marLeft w:val="0"/>
      <w:marRight w:val="0"/>
      <w:marTop w:val="0"/>
      <w:marBottom w:val="0"/>
      <w:divBdr>
        <w:top w:val="none" w:sz="0" w:space="0" w:color="auto"/>
        <w:left w:val="none" w:sz="0" w:space="0" w:color="auto"/>
        <w:bottom w:val="none" w:sz="0" w:space="0" w:color="auto"/>
        <w:right w:val="none" w:sz="0" w:space="0" w:color="auto"/>
      </w:divBdr>
    </w:div>
    <w:div w:id="238368959">
      <w:bodyDiv w:val="1"/>
      <w:marLeft w:val="0"/>
      <w:marRight w:val="0"/>
      <w:marTop w:val="0"/>
      <w:marBottom w:val="0"/>
      <w:divBdr>
        <w:top w:val="none" w:sz="0" w:space="0" w:color="auto"/>
        <w:left w:val="none" w:sz="0" w:space="0" w:color="auto"/>
        <w:bottom w:val="none" w:sz="0" w:space="0" w:color="auto"/>
        <w:right w:val="none" w:sz="0" w:space="0" w:color="auto"/>
      </w:divBdr>
    </w:div>
    <w:div w:id="270355672">
      <w:bodyDiv w:val="1"/>
      <w:marLeft w:val="0"/>
      <w:marRight w:val="0"/>
      <w:marTop w:val="0"/>
      <w:marBottom w:val="0"/>
      <w:divBdr>
        <w:top w:val="none" w:sz="0" w:space="0" w:color="auto"/>
        <w:left w:val="none" w:sz="0" w:space="0" w:color="auto"/>
        <w:bottom w:val="none" w:sz="0" w:space="0" w:color="auto"/>
        <w:right w:val="none" w:sz="0" w:space="0" w:color="auto"/>
      </w:divBdr>
    </w:div>
    <w:div w:id="300549289">
      <w:bodyDiv w:val="1"/>
      <w:marLeft w:val="0"/>
      <w:marRight w:val="0"/>
      <w:marTop w:val="0"/>
      <w:marBottom w:val="0"/>
      <w:divBdr>
        <w:top w:val="none" w:sz="0" w:space="0" w:color="auto"/>
        <w:left w:val="none" w:sz="0" w:space="0" w:color="auto"/>
        <w:bottom w:val="none" w:sz="0" w:space="0" w:color="auto"/>
        <w:right w:val="none" w:sz="0" w:space="0" w:color="auto"/>
      </w:divBdr>
    </w:div>
    <w:div w:id="300774831">
      <w:bodyDiv w:val="1"/>
      <w:marLeft w:val="0"/>
      <w:marRight w:val="0"/>
      <w:marTop w:val="0"/>
      <w:marBottom w:val="0"/>
      <w:divBdr>
        <w:top w:val="none" w:sz="0" w:space="0" w:color="auto"/>
        <w:left w:val="none" w:sz="0" w:space="0" w:color="auto"/>
        <w:bottom w:val="none" w:sz="0" w:space="0" w:color="auto"/>
        <w:right w:val="none" w:sz="0" w:space="0" w:color="auto"/>
      </w:divBdr>
    </w:div>
    <w:div w:id="328101781">
      <w:bodyDiv w:val="1"/>
      <w:marLeft w:val="0"/>
      <w:marRight w:val="0"/>
      <w:marTop w:val="0"/>
      <w:marBottom w:val="0"/>
      <w:divBdr>
        <w:top w:val="none" w:sz="0" w:space="0" w:color="auto"/>
        <w:left w:val="none" w:sz="0" w:space="0" w:color="auto"/>
        <w:bottom w:val="none" w:sz="0" w:space="0" w:color="auto"/>
        <w:right w:val="none" w:sz="0" w:space="0" w:color="auto"/>
      </w:divBdr>
    </w:div>
    <w:div w:id="384372909">
      <w:bodyDiv w:val="1"/>
      <w:marLeft w:val="0"/>
      <w:marRight w:val="0"/>
      <w:marTop w:val="0"/>
      <w:marBottom w:val="0"/>
      <w:divBdr>
        <w:top w:val="none" w:sz="0" w:space="0" w:color="auto"/>
        <w:left w:val="none" w:sz="0" w:space="0" w:color="auto"/>
        <w:bottom w:val="none" w:sz="0" w:space="0" w:color="auto"/>
        <w:right w:val="none" w:sz="0" w:space="0" w:color="auto"/>
      </w:divBdr>
    </w:div>
    <w:div w:id="427696063">
      <w:bodyDiv w:val="1"/>
      <w:marLeft w:val="0"/>
      <w:marRight w:val="0"/>
      <w:marTop w:val="0"/>
      <w:marBottom w:val="0"/>
      <w:divBdr>
        <w:top w:val="none" w:sz="0" w:space="0" w:color="auto"/>
        <w:left w:val="none" w:sz="0" w:space="0" w:color="auto"/>
        <w:bottom w:val="none" w:sz="0" w:space="0" w:color="auto"/>
        <w:right w:val="none" w:sz="0" w:space="0" w:color="auto"/>
      </w:divBdr>
    </w:div>
    <w:div w:id="462120359">
      <w:bodyDiv w:val="1"/>
      <w:marLeft w:val="0"/>
      <w:marRight w:val="0"/>
      <w:marTop w:val="0"/>
      <w:marBottom w:val="0"/>
      <w:divBdr>
        <w:top w:val="none" w:sz="0" w:space="0" w:color="auto"/>
        <w:left w:val="none" w:sz="0" w:space="0" w:color="auto"/>
        <w:bottom w:val="none" w:sz="0" w:space="0" w:color="auto"/>
        <w:right w:val="none" w:sz="0" w:space="0" w:color="auto"/>
      </w:divBdr>
    </w:div>
    <w:div w:id="501094371">
      <w:bodyDiv w:val="1"/>
      <w:marLeft w:val="0"/>
      <w:marRight w:val="0"/>
      <w:marTop w:val="0"/>
      <w:marBottom w:val="0"/>
      <w:divBdr>
        <w:top w:val="none" w:sz="0" w:space="0" w:color="auto"/>
        <w:left w:val="none" w:sz="0" w:space="0" w:color="auto"/>
        <w:bottom w:val="none" w:sz="0" w:space="0" w:color="auto"/>
        <w:right w:val="none" w:sz="0" w:space="0" w:color="auto"/>
      </w:divBdr>
    </w:div>
    <w:div w:id="517699706">
      <w:bodyDiv w:val="1"/>
      <w:marLeft w:val="0"/>
      <w:marRight w:val="0"/>
      <w:marTop w:val="0"/>
      <w:marBottom w:val="0"/>
      <w:divBdr>
        <w:top w:val="none" w:sz="0" w:space="0" w:color="auto"/>
        <w:left w:val="none" w:sz="0" w:space="0" w:color="auto"/>
        <w:bottom w:val="none" w:sz="0" w:space="0" w:color="auto"/>
        <w:right w:val="none" w:sz="0" w:space="0" w:color="auto"/>
      </w:divBdr>
    </w:div>
    <w:div w:id="566500628">
      <w:bodyDiv w:val="1"/>
      <w:marLeft w:val="0"/>
      <w:marRight w:val="0"/>
      <w:marTop w:val="0"/>
      <w:marBottom w:val="0"/>
      <w:divBdr>
        <w:top w:val="none" w:sz="0" w:space="0" w:color="auto"/>
        <w:left w:val="none" w:sz="0" w:space="0" w:color="auto"/>
        <w:bottom w:val="none" w:sz="0" w:space="0" w:color="auto"/>
        <w:right w:val="none" w:sz="0" w:space="0" w:color="auto"/>
      </w:divBdr>
    </w:div>
    <w:div w:id="617417228">
      <w:bodyDiv w:val="1"/>
      <w:marLeft w:val="0"/>
      <w:marRight w:val="0"/>
      <w:marTop w:val="0"/>
      <w:marBottom w:val="0"/>
      <w:divBdr>
        <w:top w:val="none" w:sz="0" w:space="0" w:color="auto"/>
        <w:left w:val="none" w:sz="0" w:space="0" w:color="auto"/>
        <w:bottom w:val="none" w:sz="0" w:space="0" w:color="auto"/>
        <w:right w:val="none" w:sz="0" w:space="0" w:color="auto"/>
      </w:divBdr>
    </w:div>
    <w:div w:id="621961355">
      <w:bodyDiv w:val="1"/>
      <w:marLeft w:val="0"/>
      <w:marRight w:val="0"/>
      <w:marTop w:val="0"/>
      <w:marBottom w:val="0"/>
      <w:divBdr>
        <w:top w:val="none" w:sz="0" w:space="0" w:color="auto"/>
        <w:left w:val="none" w:sz="0" w:space="0" w:color="auto"/>
        <w:bottom w:val="none" w:sz="0" w:space="0" w:color="auto"/>
        <w:right w:val="none" w:sz="0" w:space="0" w:color="auto"/>
      </w:divBdr>
    </w:div>
    <w:div w:id="650408826">
      <w:bodyDiv w:val="1"/>
      <w:marLeft w:val="0"/>
      <w:marRight w:val="0"/>
      <w:marTop w:val="0"/>
      <w:marBottom w:val="0"/>
      <w:divBdr>
        <w:top w:val="none" w:sz="0" w:space="0" w:color="auto"/>
        <w:left w:val="none" w:sz="0" w:space="0" w:color="auto"/>
        <w:bottom w:val="none" w:sz="0" w:space="0" w:color="auto"/>
        <w:right w:val="none" w:sz="0" w:space="0" w:color="auto"/>
      </w:divBdr>
    </w:div>
    <w:div w:id="665863754">
      <w:bodyDiv w:val="1"/>
      <w:marLeft w:val="0"/>
      <w:marRight w:val="0"/>
      <w:marTop w:val="0"/>
      <w:marBottom w:val="0"/>
      <w:divBdr>
        <w:top w:val="none" w:sz="0" w:space="0" w:color="auto"/>
        <w:left w:val="none" w:sz="0" w:space="0" w:color="auto"/>
        <w:bottom w:val="none" w:sz="0" w:space="0" w:color="auto"/>
        <w:right w:val="none" w:sz="0" w:space="0" w:color="auto"/>
      </w:divBdr>
    </w:div>
    <w:div w:id="695423133">
      <w:bodyDiv w:val="1"/>
      <w:marLeft w:val="0"/>
      <w:marRight w:val="0"/>
      <w:marTop w:val="0"/>
      <w:marBottom w:val="0"/>
      <w:divBdr>
        <w:top w:val="none" w:sz="0" w:space="0" w:color="auto"/>
        <w:left w:val="none" w:sz="0" w:space="0" w:color="auto"/>
        <w:bottom w:val="none" w:sz="0" w:space="0" w:color="auto"/>
        <w:right w:val="none" w:sz="0" w:space="0" w:color="auto"/>
      </w:divBdr>
    </w:div>
    <w:div w:id="764350247">
      <w:bodyDiv w:val="1"/>
      <w:marLeft w:val="0"/>
      <w:marRight w:val="0"/>
      <w:marTop w:val="0"/>
      <w:marBottom w:val="0"/>
      <w:divBdr>
        <w:top w:val="none" w:sz="0" w:space="0" w:color="auto"/>
        <w:left w:val="none" w:sz="0" w:space="0" w:color="auto"/>
        <w:bottom w:val="none" w:sz="0" w:space="0" w:color="auto"/>
        <w:right w:val="none" w:sz="0" w:space="0" w:color="auto"/>
      </w:divBdr>
    </w:div>
    <w:div w:id="783575683">
      <w:bodyDiv w:val="1"/>
      <w:marLeft w:val="0"/>
      <w:marRight w:val="0"/>
      <w:marTop w:val="0"/>
      <w:marBottom w:val="0"/>
      <w:divBdr>
        <w:top w:val="none" w:sz="0" w:space="0" w:color="auto"/>
        <w:left w:val="none" w:sz="0" w:space="0" w:color="auto"/>
        <w:bottom w:val="none" w:sz="0" w:space="0" w:color="auto"/>
        <w:right w:val="none" w:sz="0" w:space="0" w:color="auto"/>
      </w:divBdr>
    </w:div>
    <w:div w:id="827356510">
      <w:bodyDiv w:val="1"/>
      <w:marLeft w:val="0"/>
      <w:marRight w:val="0"/>
      <w:marTop w:val="0"/>
      <w:marBottom w:val="0"/>
      <w:divBdr>
        <w:top w:val="none" w:sz="0" w:space="0" w:color="auto"/>
        <w:left w:val="none" w:sz="0" w:space="0" w:color="auto"/>
        <w:bottom w:val="none" w:sz="0" w:space="0" w:color="auto"/>
        <w:right w:val="none" w:sz="0" w:space="0" w:color="auto"/>
      </w:divBdr>
      <w:divsChild>
        <w:div w:id="1099521529">
          <w:marLeft w:val="0"/>
          <w:marRight w:val="0"/>
          <w:marTop w:val="0"/>
          <w:marBottom w:val="0"/>
          <w:divBdr>
            <w:top w:val="none" w:sz="0" w:space="0" w:color="auto"/>
            <w:left w:val="none" w:sz="0" w:space="0" w:color="auto"/>
            <w:bottom w:val="none" w:sz="0" w:space="0" w:color="auto"/>
            <w:right w:val="none" w:sz="0" w:space="0" w:color="auto"/>
          </w:divBdr>
        </w:div>
      </w:divsChild>
    </w:div>
    <w:div w:id="859588049">
      <w:bodyDiv w:val="1"/>
      <w:marLeft w:val="0"/>
      <w:marRight w:val="0"/>
      <w:marTop w:val="0"/>
      <w:marBottom w:val="0"/>
      <w:divBdr>
        <w:top w:val="none" w:sz="0" w:space="0" w:color="auto"/>
        <w:left w:val="none" w:sz="0" w:space="0" w:color="auto"/>
        <w:bottom w:val="none" w:sz="0" w:space="0" w:color="auto"/>
        <w:right w:val="none" w:sz="0" w:space="0" w:color="auto"/>
      </w:divBdr>
    </w:div>
    <w:div w:id="872692017">
      <w:bodyDiv w:val="1"/>
      <w:marLeft w:val="0"/>
      <w:marRight w:val="0"/>
      <w:marTop w:val="0"/>
      <w:marBottom w:val="0"/>
      <w:divBdr>
        <w:top w:val="none" w:sz="0" w:space="0" w:color="auto"/>
        <w:left w:val="none" w:sz="0" w:space="0" w:color="auto"/>
        <w:bottom w:val="none" w:sz="0" w:space="0" w:color="auto"/>
        <w:right w:val="none" w:sz="0" w:space="0" w:color="auto"/>
      </w:divBdr>
    </w:div>
    <w:div w:id="895362814">
      <w:bodyDiv w:val="1"/>
      <w:marLeft w:val="0"/>
      <w:marRight w:val="0"/>
      <w:marTop w:val="0"/>
      <w:marBottom w:val="0"/>
      <w:divBdr>
        <w:top w:val="none" w:sz="0" w:space="0" w:color="auto"/>
        <w:left w:val="none" w:sz="0" w:space="0" w:color="auto"/>
        <w:bottom w:val="none" w:sz="0" w:space="0" w:color="auto"/>
        <w:right w:val="none" w:sz="0" w:space="0" w:color="auto"/>
      </w:divBdr>
    </w:div>
    <w:div w:id="901452667">
      <w:bodyDiv w:val="1"/>
      <w:marLeft w:val="0"/>
      <w:marRight w:val="0"/>
      <w:marTop w:val="0"/>
      <w:marBottom w:val="0"/>
      <w:divBdr>
        <w:top w:val="none" w:sz="0" w:space="0" w:color="auto"/>
        <w:left w:val="none" w:sz="0" w:space="0" w:color="auto"/>
        <w:bottom w:val="none" w:sz="0" w:space="0" w:color="auto"/>
        <w:right w:val="none" w:sz="0" w:space="0" w:color="auto"/>
      </w:divBdr>
    </w:div>
    <w:div w:id="901713145">
      <w:bodyDiv w:val="1"/>
      <w:marLeft w:val="0"/>
      <w:marRight w:val="0"/>
      <w:marTop w:val="0"/>
      <w:marBottom w:val="0"/>
      <w:divBdr>
        <w:top w:val="none" w:sz="0" w:space="0" w:color="auto"/>
        <w:left w:val="none" w:sz="0" w:space="0" w:color="auto"/>
        <w:bottom w:val="none" w:sz="0" w:space="0" w:color="auto"/>
        <w:right w:val="none" w:sz="0" w:space="0" w:color="auto"/>
      </w:divBdr>
    </w:div>
    <w:div w:id="917128853">
      <w:bodyDiv w:val="1"/>
      <w:marLeft w:val="0"/>
      <w:marRight w:val="0"/>
      <w:marTop w:val="0"/>
      <w:marBottom w:val="0"/>
      <w:divBdr>
        <w:top w:val="none" w:sz="0" w:space="0" w:color="auto"/>
        <w:left w:val="none" w:sz="0" w:space="0" w:color="auto"/>
        <w:bottom w:val="none" w:sz="0" w:space="0" w:color="auto"/>
        <w:right w:val="none" w:sz="0" w:space="0" w:color="auto"/>
      </w:divBdr>
    </w:div>
    <w:div w:id="934172716">
      <w:bodyDiv w:val="1"/>
      <w:marLeft w:val="0"/>
      <w:marRight w:val="0"/>
      <w:marTop w:val="0"/>
      <w:marBottom w:val="0"/>
      <w:divBdr>
        <w:top w:val="none" w:sz="0" w:space="0" w:color="auto"/>
        <w:left w:val="none" w:sz="0" w:space="0" w:color="auto"/>
        <w:bottom w:val="none" w:sz="0" w:space="0" w:color="auto"/>
        <w:right w:val="none" w:sz="0" w:space="0" w:color="auto"/>
      </w:divBdr>
    </w:div>
    <w:div w:id="949748472">
      <w:bodyDiv w:val="1"/>
      <w:marLeft w:val="0"/>
      <w:marRight w:val="0"/>
      <w:marTop w:val="0"/>
      <w:marBottom w:val="0"/>
      <w:divBdr>
        <w:top w:val="none" w:sz="0" w:space="0" w:color="auto"/>
        <w:left w:val="none" w:sz="0" w:space="0" w:color="auto"/>
        <w:bottom w:val="none" w:sz="0" w:space="0" w:color="auto"/>
        <w:right w:val="none" w:sz="0" w:space="0" w:color="auto"/>
      </w:divBdr>
    </w:div>
    <w:div w:id="975181364">
      <w:bodyDiv w:val="1"/>
      <w:marLeft w:val="0"/>
      <w:marRight w:val="0"/>
      <w:marTop w:val="0"/>
      <w:marBottom w:val="0"/>
      <w:divBdr>
        <w:top w:val="none" w:sz="0" w:space="0" w:color="auto"/>
        <w:left w:val="none" w:sz="0" w:space="0" w:color="auto"/>
        <w:bottom w:val="none" w:sz="0" w:space="0" w:color="auto"/>
        <w:right w:val="none" w:sz="0" w:space="0" w:color="auto"/>
      </w:divBdr>
    </w:div>
    <w:div w:id="976452200">
      <w:bodyDiv w:val="1"/>
      <w:marLeft w:val="0"/>
      <w:marRight w:val="0"/>
      <w:marTop w:val="0"/>
      <w:marBottom w:val="0"/>
      <w:divBdr>
        <w:top w:val="none" w:sz="0" w:space="0" w:color="auto"/>
        <w:left w:val="none" w:sz="0" w:space="0" w:color="auto"/>
        <w:bottom w:val="none" w:sz="0" w:space="0" w:color="auto"/>
        <w:right w:val="none" w:sz="0" w:space="0" w:color="auto"/>
      </w:divBdr>
    </w:div>
    <w:div w:id="976647683">
      <w:bodyDiv w:val="1"/>
      <w:marLeft w:val="0"/>
      <w:marRight w:val="0"/>
      <w:marTop w:val="0"/>
      <w:marBottom w:val="0"/>
      <w:divBdr>
        <w:top w:val="none" w:sz="0" w:space="0" w:color="auto"/>
        <w:left w:val="none" w:sz="0" w:space="0" w:color="auto"/>
        <w:bottom w:val="none" w:sz="0" w:space="0" w:color="auto"/>
        <w:right w:val="none" w:sz="0" w:space="0" w:color="auto"/>
      </w:divBdr>
    </w:div>
    <w:div w:id="981622710">
      <w:bodyDiv w:val="1"/>
      <w:marLeft w:val="0"/>
      <w:marRight w:val="0"/>
      <w:marTop w:val="0"/>
      <w:marBottom w:val="0"/>
      <w:divBdr>
        <w:top w:val="none" w:sz="0" w:space="0" w:color="auto"/>
        <w:left w:val="none" w:sz="0" w:space="0" w:color="auto"/>
        <w:bottom w:val="none" w:sz="0" w:space="0" w:color="auto"/>
        <w:right w:val="none" w:sz="0" w:space="0" w:color="auto"/>
      </w:divBdr>
      <w:divsChild>
        <w:div w:id="261652183">
          <w:marLeft w:val="0"/>
          <w:marRight w:val="0"/>
          <w:marTop w:val="0"/>
          <w:marBottom w:val="0"/>
          <w:divBdr>
            <w:top w:val="none" w:sz="0" w:space="0" w:color="auto"/>
            <w:left w:val="none" w:sz="0" w:space="0" w:color="auto"/>
            <w:bottom w:val="none" w:sz="0" w:space="0" w:color="auto"/>
            <w:right w:val="none" w:sz="0" w:space="0" w:color="auto"/>
          </w:divBdr>
        </w:div>
      </w:divsChild>
    </w:div>
    <w:div w:id="1001273132">
      <w:bodyDiv w:val="1"/>
      <w:marLeft w:val="0"/>
      <w:marRight w:val="0"/>
      <w:marTop w:val="0"/>
      <w:marBottom w:val="0"/>
      <w:divBdr>
        <w:top w:val="none" w:sz="0" w:space="0" w:color="auto"/>
        <w:left w:val="none" w:sz="0" w:space="0" w:color="auto"/>
        <w:bottom w:val="none" w:sz="0" w:space="0" w:color="auto"/>
        <w:right w:val="none" w:sz="0" w:space="0" w:color="auto"/>
      </w:divBdr>
    </w:div>
    <w:div w:id="1007562995">
      <w:bodyDiv w:val="1"/>
      <w:marLeft w:val="0"/>
      <w:marRight w:val="0"/>
      <w:marTop w:val="0"/>
      <w:marBottom w:val="0"/>
      <w:divBdr>
        <w:top w:val="none" w:sz="0" w:space="0" w:color="auto"/>
        <w:left w:val="none" w:sz="0" w:space="0" w:color="auto"/>
        <w:bottom w:val="none" w:sz="0" w:space="0" w:color="auto"/>
        <w:right w:val="none" w:sz="0" w:space="0" w:color="auto"/>
      </w:divBdr>
    </w:div>
    <w:div w:id="1014842502">
      <w:bodyDiv w:val="1"/>
      <w:marLeft w:val="0"/>
      <w:marRight w:val="0"/>
      <w:marTop w:val="0"/>
      <w:marBottom w:val="0"/>
      <w:divBdr>
        <w:top w:val="none" w:sz="0" w:space="0" w:color="auto"/>
        <w:left w:val="none" w:sz="0" w:space="0" w:color="auto"/>
        <w:bottom w:val="none" w:sz="0" w:space="0" w:color="auto"/>
        <w:right w:val="none" w:sz="0" w:space="0" w:color="auto"/>
      </w:divBdr>
    </w:div>
    <w:div w:id="1040982781">
      <w:bodyDiv w:val="1"/>
      <w:marLeft w:val="0"/>
      <w:marRight w:val="0"/>
      <w:marTop w:val="0"/>
      <w:marBottom w:val="0"/>
      <w:divBdr>
        <w:top w:val="none" w:sz="0" w:space="0" w:color="auto"/>
        <w:left w:val="none" w:sz="0" w:space="0" w:color="auto"/>
        <w:bottom w:val="none" w:sz="0" w:space="0" w:color="auto"/>
        <w:right w:val="none" w:sz="0" w:space="0" w:color="auto"/>
      </w:divBdr>
    </w:div>
    <w:div w:id="1120684458">
      <w:bodyDiv w:val="1"/>
      <w:marLeft w:val="0"/>
      <w:marRight w:val="0"/>
      <w:marTop w:val="0"/>
      <w:marBottom w:val="0"/>
      <w:divBdr>
        <w:top w:val="none" w:sz="0" w:space="0" w:color="auto"/>
        <w:left w:val="none" w:sz="0" w:space="0" w:color="auto"/>
        <w:bottom w:val="none" w:sz="0" w:space="0" w:color="auto"/>
        <w:right w:val="none" w:sz="0" w:space="0" w:color="auto"/>
      </w:divBdr>
    </w:div>
    <w:div w:id="1159423982">
      <w:bodyDiv w:val="1"/>
      <w:marLeft w:val="0"/>
      <w:marRight w:val="0"/>
      <w:marTop w:val="0"/>
      <w:marBottom w:val="0"/>
      <w:divBdr>
        <w:top w:val="none" w:sz="0" w:space="0" w:color="auto"/>
        <w:left w:val="none" w:sz="0" w:space="0" w:color="auto"/>
        <w:bottom w:val="none" w:sz="0" w:space="0" w:color="auto"/>
        <w:right w:val="none" w:sz="0" w:space="0" w:color="auto"/>
      </w:divBdr>
    </w:div>
    <w:div w:id="1209494540">
      <w:bodyDiv w:val="1"/>
      <w:marLeft w:val="0"/>
      <w:marRight w:val="0"/>
      <w:marTop w:val="0"/>
      <w:marBottom w:val="0"/>
      <w:divBdr>
        <w:top w:val="none" w:sz="0" w:space="0" w:color="auto"/>
        <w:left w:val="none" w:sz="0" w:space="0" w:color="auto"/>
        <w:bottom w:val="none" w:sz="0" w:space="0" w:color="auto"/>
        <w:right w:val="none" w:sz="0" w:space="0" w:color="auto"/>
      </w:divBdr>
    </w:div>
    <w:div w:id="1220167575">
      <w:bodyDiv w:val="1"/>
      <w:marLeft w:val="0"/>
      <w:marRight w:val="0"/>
      <w:marTop w:val="0"/>
      <w:marBottom w:val="0"/>
      <w:divBdr>
        <w:top w:val="none" w:sz="0" w:space="0" w:color="auto"/>
        <w:left w:val="none" w:sz="0" w:space="0" w:color="auto"/>
        <w:bottom w:val="none" w:sz="0" w:space="0" w:color="auto"/>
        <w:right w:val="none" w:sz="0" w:space="0" w:color="auto"/>
      </w:divBdr>
    </w:div>
    <w:div w:id="1252356148">
      <w:bodyDiv w:val="1"/>
      <w:marLeft w:val="0"/>
      <w:marRight w:val="0"/>
      <w:marTop w:val="0"/>
      <w:marBottom w:val="0"/>
      <w:divBdr>
        <w:top w:val="none" w:sz="0" w:space="0" w:color="auto"/>
        <w:left w:val="none" w:sz="0" w:space="0" w:color="auto"/>
        <w:bottom w:val="none" w:sz="0" w:space="0" w:color="auto"/>
        <w:right w:val="none" w:sz="0" w:space="0" w:color="auto"/>
      </w:divBdr>
    </w:div>
    <w:div w:id="1282110327">
      <w:bodyDiv w:val="1"/>
      <w:marLeft w:val="0"/>
      <w:marRight w:val="0"/>
      <w:marTop w:val="0"/>
      <w:marBottom w:val="0"/>
      <w:divBdr>
        <w:top w:val="none" w:sz="0" w:space="0" w:color="auto"/>
        <w:left w:val="none" w:sz="0" w:space="0" w:color="auto"/>
        <w:bottom w:val="none" w:sz="0" w:space="0" w:color="auto"/>
        <w:right w:val="none" w:sz="0" w:space="0" w:color="auto"/>
      </w:divBdr>
    </w:div>
    <w:div w:id="1324965315">
      <w:bodyDiv w:val="1"/>
      <w:marLeft w:val="0"/>
      <w:marRight w:val="0"/>
      <w:marTop w:val="0"/>
      <w:marBottom w:val="0"/>
      <w:divBdr>
        <w:top w:val="none" w:sz="0" w:space="0" w:color="auto"/>
        <w:left w:val="none" w:sz="0" w:space="0" w:color="auto"/>
        <w:bottom w:val="none" w:sz="0" w:space="0" w:color="auto"/>
        <w:right w:val="none" w:sz="0" w:space="0" w:color="auto"/>
      </w:divBdr>
    </w:div>
    <w:div w:id="1330449187">
      <w:bodyDiv w:val="1"/>
      <w:marLeft w:val="0"/>
      <w:marRight w:val="0"/>
      <w:marTop w:val="0"/>
      <w:marBottom w:val="0"/>
      <w:divBdr>
        <w:top w:val="none" w:sz="0" w:space="0" w:color="auto"/>
        <w:left w:val="none" w:sz="0" w:space="0" w:color="auto"/>
        <w:bottom w:val="none" w:sz="0" w:space="0" w:color="auto"/>
        <w:right w:val="none" w:sz="0" w:space="0" w:color="auto"/>
      </w:divBdr>
    </w:div>
    <w:div w:id="1405687473">
      <w:bodyDiv w:val="1"/>
      <w:marLeft w:val="0"/>
      <w:marRight w:val="0"/>
      <w:marTop w:val="0"/>
      <w:marBottom w:val="0"/>
      <w:divBdr>
        <w:top w:val="none" w:sz="0" w:space="0" w:color="auto"/>
        <w:left w:val="none" w:sz="0" w:space="0" w:color="auto"/>
        <w:bottom w:val="none" w:sz="0" w:space="0" w:color="auto"/>
        <w:right w:val="none" w:sz="0" w:space="0" w:color="auto"/>
      </w:divBdr>
    </w:div>
    <w:div w:id="1422676684">
      <w:bodyDiv w:val="1"/>
      <w:marLeft w:val="0"/>
      <w:marRight w:val="0"/>
      <w:marTop w:val="0"/>
      <w:marBottom w:val="0"/>
      <w:divBdr>
        <w:top w:val="none" w:sz="0" w:space="0" w:color="auto"/>
        <w:left w:val="none" w:sz="0" w:space="0" w:color="auto"/>
        <w:bottom w:val="none" w:sz="0" w:space="0" w:color="auto"/>
        <w:right w:val="none" w:sz="0" w:space="0" w:color="auto"/>
      </w:divBdr>
    </w:div>
    <w:div w:id="1445076739">
      <w:bodyDiv w:val="1"/>
      <w:marLeft w:val="0"/>
      <w:marRight w:val="0"/>
      <w:marTop w:val="0"/>
      <w:marBottom w:val="0"/>
      <w:divBdr>
        <w:top w:val="none" w:sz="0" w:space="0" w:color="auto"/>
        <w:left w:val="none" w:sz="0" w:space="0" w:color="auto"/>
        <w:bottom w:val="none" w:sz="0" w:space="0" w:color="auto"/>
        <w:right w:val="none" w:sz="0" w:space="0" w:color="auto"/>
      </w:divBdr>
    </w:div>
    <w:div w:id="1446272571">
      <w:bodyDiv w:val="1"/>
      <w:marLeft w:val="0"/>
      <w:marRight w:val="0"/>
      <w:marTop w:val="0"/>
      <w:marBottom w:val="0"/>
      <w:divBdr>
        <w:top w:val="none" w:sz="0" w:space="0" w:color="auto"/>
        <w:left w:val="none" w:sz="0" w:space="0" w:color="auto"/>
        <w:bottom w:val="none" w:sz="0" w:space="0" w:color="auto"/>
        <w:right w:val="none" w:sz="0" w:space="0" w:color="auto"/>
      </w:divBdr>
    </w:div>
    <w:div w:id="1482968691">
      <w:bodyDiv w:val="1"/>
      <w:marLeft w:val="0"/>
      <w:marRight w:val="0"/>
      <w:marTop w:val="0"/>
      <w:marBottom w:val="0"/>
      <w:divBdr>
        <w:top w:val="none" w:sz="0" w:space="0" w:color="auto"/>
        <w:left w:val="none" w:sz="0" w:space="0" w:color="auto"/>
        <w:bottom w:val="none" w:sz="0" w:space="0" w:color="auto"/>
        <w:right w:val="none" w:sz="0" w:space="0" w:color="auto"/>
      </w:divBdr>
    </w:div>
    <w:div w:id="1508132771">
      <w:bodyDiv w:val="1"/>
      <w:marLeft w:val="0"/>
      <w:marRight w:val="0"/>
      <w:marTop w:val="0"/>
      <w:marBottom w:val="0"/>
      <w:divBdr>
        <w:top w:val="none" w:sz="0" w:space="0" w:color="auto"/>
        <w:left w:val="none" w:sz="0" w:space="0" w:color="auto"/>
        <w:bottom w:val="none" w:sz="0" w:space="0" w:color="auto"/>
        <w:right w:val="none" w:sz="0" w:space="0" w:color="auto"/>
      </w:divBdr>
    </w:div>
    <w:div w:id="1532843689">
      <w:bodyDiv w:val="1"/>
      <w:marLeft w:val="0"/>
      <w:marRight w:val="0"/>
      <w:marTop w:val="0"/>
      <w:marBottom w:val="0"/>
      <w:divBdr>
        <w:top w:val="none" w:sz="0" w:space="0" w:color="auto"/>
        <w:left w:val="none" w:sz="0" w:space="0" w:color="auto"/>
        <w:bottom w:val="none" w:sz="0" w:space="0" w:color="auto"/>
        <w:right w:val="none" w:sz="0" w:space="0" w:color="auto"/>
      </w:divBdr>
    </w:div>
    <w:div w:id="1545756331">
      <w:bodyDiv w:val="1"/>
      <w:marLeft w:val="0"/>
      <w:marRight w:val="0"/>
      <w:marTop w:val="0"/>
      <w:marBottom w:val="0"/>
      <w:divBdr>
        <w:top w:val="none" w:sz="0" w:space="0" w:color="auto"/>
        <w:left w:val="none" w:sz="0" w:space="0" w:color="auto"/>
        <w:bottom w:val="none" w:sz="0" w:space="0" w:color="auto"/>
        <w:right w:val="none" w:sz="0" w:space="0" w:color="auto"/>
      </w:divBdr>
    </w:div>
    <w:div w:id="1578520422">
      <w:bodyDiv w:val="1"/>
      <w:marLeft w:val="0"/>
      <w:marRight w:val="0"/>
      <w:marTop w:val="0"/>
      <w:marBottom w:val="0"/>
      <w:divBdr>
        <w:top w:val="none" w:sz="0" w:space="0" w:color="auto"/>
        <w:left w:val="none" w:sz="0" w:space="0" w:color="auto"/>
        <w:bottom w:val="none" w:sz="0" w:space="0" w:color="auto"/>
        <w:right w:val="none" w:sz="0" w:space="0" w:color="auto"/>
      </w:divBdr>
    </w:div>
    <w:div w:id="1587962769">
      <w:bodyDiv w:val="1"/>
      <w:marLeft w:val="0"/>
      <w:marRight w:val="0"/>
      <w:marTop w:val="0"/>
      <w:marBottom w:val="0"/>
      <w:divBdr>
        <w:top w:val="none" w:sz="0" w:space="0" w:color="auto"/>
        <w:left w:val="none" w:sz="0" w:space="0" w:color="auto"/>
        <w:bottom w:val="none" w:sz="0" w:space="0" w:color="auto"/>
        <w:right w:val="none" w:sz="0" w:space="0" w:color="auto"/>
      </w:divBdr>
    </w:div>
    <w:div w:id="1591890617">
      <w:bodyDiv w:val="1"/>
      <w:marLeft w:val="0"/>
      <w:marRight w:val="0"/>
      <w:marTop w:val="0"/>
      <w:marBottom w:val="0"/>
      <w:divBdr>
        <w:top w:val="none" w:sz="0" w:space="0" w:color="auto"/>
        <w:left w:val="none" w:sz="0" w:space="0" w:color="auto"/>
        <w:bottom w:val="none" w:sz="0" w:space="0" w:color="auto"/>
        <w:right w:val="none" w:sz="0" w:space="0" w:color="auto"/>
      </w:divBdr>
    </w:div>
    <w:div w:id="1605532299">
      <w:bodyDiv w:val="1"/>
      <w:marLeft w:val="0"/>
      <w:marRight w:val="0"/>
      <w:marTop w:val="0"/>
      <w:marBottom w:val="0"/>
      <w:divBdr>
        <w:top w:val="none" w:sz="0" w:space="0" w:color="auto"/>
        <w:left w:val="none" w:sz="0" w:space="0" w:color="auto"/>
        <w:bottom w:val="none" w:sz="0" w:space="0" w:color="auto"/>
        <w:right w:val="none" w:sz="0" w:space="0" w:color="auto"/>
      </w:divBdr>
    </w:div>
    <w:div w:id="1614826245">
      <w:bodyDiv w:val="1"/>
      <w:marLeft w:val="0"/>
      <w:marRight w:val="0"/>
      <w:marTop w:val="0"/>
      <w:marBottom w:val="0"/>
      <w:divBdr>
        <w:top w:val="none" w:sz="0" w:space="0" w:color="auto"/>
        <w:left w:val="none" w:sz="0" w:space="0" w:color="auto"/>
        <w:bottom w:val="none" w:sz="0" w:space="0" w:color="auto"/>
        <w:right w:val="none" w:sz="0" w:space="0" w:color="auto"/>
      </w:divBdr>
    </w:div>
    <w:div w:id="1620330235">
      <w:bodyDiv w:val="1"/>
      <w:marLeft w:val="0"/>
      <w:marRight w:val="0"/>
      <w:marTop w:val="0"/>
      <w:marBottom w:val="0"/>
      <w:divBdr>
        <w:top w:val="none" w:sz="0" w:space="0" w:color="auto"/>
        <w:left w:val="none" w:sz="0" w:space="0" w:color="auto"/>
        <w:bottom w:val="none" w:sz="0" w:space="0" w:color="auto"/>
        <w:right w:val="none" w:sz="0" w:space="0" w:color="auto"/>
      </w:divBdr>
    </w:div>
    <w:div w:id="1622414308">
      <w:bodyDiv w:val="1"/>
      <w:marLeft w:val="0"/>
      <w:marRight w:val="0"/>
      <w:marTop w:val="0"/>
      <w:marBottom w:val="0"/>
      <w:divBdr>
        <w:top w:val="none" w:sz="0" w:space="0" w:color="auto"/>
        <w:left w:val="none" w:sz="0" w:space="0" w:color="auto"/>
        <w:bottom w:val="none" w:sz="0" w:space="0" w:color="auto"/>
        <w:right w:val="none" w:sz="0" w:space="0" w:color="auto"/>
      </w:divBdr>
    </w:div>
    <w:div w:id="1628781053">
      <w:bodyDiv w:val="1"/>
      <w:marLeft w:val="0"/>
      <w:marRight w:val="0"/>
      <w:marTop w:val="0"/>
      <w:marBottom w:val="0"/>
      <w:divBdr>
        <w:top w:val="none" w:sz="0" w:space="0" w:color="auto"/>
        <w:left w:val="none" w:sz="0" w:space="0" w:color="auto"/>
        <w:bottom w:val="none" w:sz="0" w:space="0" w:color="auto"/>
        <w:right w:val="none" w:sz="0" w:space="0" w:color="auto"/>
      </w:divBdr>
    </w:div>
    <w:div w:id="1631519458">
      <w:bodyDiv w:val="1"/>
      <w:marLeft w:val="0"/>
      <w:marRight w:val="0"/>
      <w:marTop w:val="0"/>
      <w:marBottom w:val="0"/>
      <w:divBdr>
        <w:top w:val="none" w:sz="0" w:space="0" w:color="auto"/>
        <w:left w:val="none" w:sz="0" w:space="0" w:color="auto"/>
        <w:bottom w:val="none" w:sz="0" w:space="0" w:color="auto"/>
        <w:right w:val="none" w:sz="0" w:space="0" w:color="auto"/>
      </w:divBdr>
    </w:div>
    <w:div w:id="1634362690">
      <w:bodyDiv w:val="1"/>
      <w:marLeft w:val="0"/>
      <w:marRight w:val="0"/>
      <w:marTop w:val="0"/>
      <w:marBottom w:val="0"/>
      <w:divBdr>
        <w:top w:val="none" w:sz="0" w:space="0" w:color="auto"/>
        <w:left w:val="none" w:sz="0" w:space="0" w:color="auto"/>
        <w:bottom w:val="none" w:sz="0" w:space="0" w:color="auto"/>
        <w:right w:val="none" w:sz="0" w:space="0" w:color="auto"/>
      </w:divBdr>
    </w:div>
    <w:div w:id="1635018170">
      <w:bodyDiv w:val="1"/>
      <w:marLeft w:val="0"/>
      <w:marRight w:val="0"/>
      <w:marTop w:val="0"/>
      <w:marBottom w:val="0"/>
      <w:divBdr>
        <w:top w:val="none" w:sz="0" w:space="0" w:color="auto"/>
        <w:left w:val="none" w:sz="0" w:space="0" w:color="auto"/>
        <w:bottom w:val="none" w:sz="0" w:space="0" w:color="auto"/>
        <w:right w:val="none" w:sz="0" w:space="0" w:color="auto"/>
      </w:divBdr>
    </w:div>
    <w:div w:id="1710647053">
      <w:bodyDiv w:val="1"/>
      <w:marLeft w:val="0"/>
      <w:marRight w:val="0"/>
      <w:marTop w:val="0"/>
      <w:marBottom w:val="0"/>
      <w:divBdr>
        <w:top w:val="none" w:sz="0" w:space="0" w:color="auto"/>
        <w:left w:val="none" w:sz="0" w:space="0" w:color="auto"/>
        <w:bottom w:val="none" w:sz="0" w:space="0" w:color="auto"/>
        <w:right w:val="none" w:sz="0" w:space="0" w:color="auto"/>
      </w:divBdr>
    </w:div>
    <w:div w:id="1721594534">
      <w:bodyDiv w:val="1"/>
      <w:marLeft w:val="0"/>
      <w:marRight w:val="0"/>
      <w:marTop w:val="0"/>
      <w:marBottom w:val="0"/>
      <w:divBdr>
        <w:top w:val="none" w:sz="0" w:space="0" w:color="auto"/>
        <w:left w:val="none" w:sz="0" w:space="0" w:color="auto"/>
        <w:bottom w:val="none" w:sz="0" w:space="0" w:color="auto"/>
        <w:right w:val="none" w:sz="0" w:space="0" w:color="auto"/>
      </w:divBdr>
    </w:div>
    <w:div w:id="1752653290">
      <w:bodyDiv w:val="1"/>
      <w:marLeft w:val="0"/>
      <w:marRight w:val="0"/>
      <w:marTop w:val="0"/>
      <w:marBottom w:val="0"/>
      <w:divBdr>
        <w:top w:val="none" w:sz="0" w:space="0" w:color="auto"/>
        <w:left w:val="none" w:sz="0" w:space="0" w:color="auto"/>
        <w:bottom w:val="none" w:sz="0" w:space="0" w:color="auto"/>
        <w:right w:val="none" w:sz="0" w:space="0" w:color="auto"/>
      </w:divBdr>
    </w:div>
    <w:div w:id="1758599197">
      <w:bodyDiv w:val="1"/>
      <w:marLeft w:val="0"/>
      <w:marRight w:val="0"/>
      <w:marTop w:val="0"/>
      <w:marBottom w:val="0"/>
      <w:divBdr>
        <w:top w:val="none" w:sz="0" w:space="0" w:color="auto"/>
        <w:left w:val="none" w:sz="0" w:space="0" w:color="auto"/>
        <w:bottom w:val="none" w:sz="0" w:space="0" w:color="auto"/>
        <w:right w:val="none" w:sz="0" w:space="0" w:color="auto"/>
      </w:divBdr>
    </w:div>
    <w:div w:id="1763603772">
      <w:bodyDiv w:val="1"/>
      <w:marLeft w:val="0"/>
      <w:marRight w:val="0"/>
      <w:marTop w:val="0"/>
      <w:marBottom w:val="0"/>
      <w:divBdr>
        <w:top w:val="none" w:sz="0" w:space="0" w:color="auto"/>
        <w:left w:val="none" w:sz="0" w:space="0" w:color="auto"/>
        <w:bottom w:val="none" w:sz="0" w:space="0" w:color="auto"/>
        <w:right w:val="none" w:sz="0" w:space="0" w:color="auto"/>
      </w:divBdr>
    </w:div>
    <w:div w:id="1790006358">
      <w:bodyDiv w:val="1"/>
      <w:marLeft w:val="0"/>
      <w:marRight w:val="0"/>
      <w:marTop w:val="0"/>
      <w:marBottom w:val="0"/>
      <w:divBdr>
        <w:top w:val="none" w:sz="0" w:space="0" w:color="auto"/>
        <w:left w:val="none" w:sz="0" w:space="0" w:color="auto"/>
        <w:bottom w:val="none" w:sz="0" w:space="0" w:color="auto"/>
        <w:right w:val="none" w:sz="0" w:space="0" w:color="auto"/>
      </w:divBdr>
    </w:div>
    <w:div w:id="1790389911">
      <w:bodyDiv w:val="1"/>
      <w:marLeft w:val="0"/>
      <w:marRight w:val="0"/>
      <w:marTop w:val="0"/>
      <w:marBottom w:val="0"/>
      <w:divBdr>
        <w:top w:val="none" w:sz="0" w:space="0" w:color="auto"/>
        <w:left w:val="none" w:sz="0" w:space="0" w:color="auto"/>
        <w:bottom w:val="none" w:sz="0" w:space="0" w:color="auto"/>
        <w:right w:val="none" w:sz="0" w:space="0" w:color="auto"/>
      </w:divBdr>
    </w:div>
    <w:div w:id="1821194823">
      <w:bodyDiv w:val="1"/>
      <w:marLeft w:val="0"/>
      <w:marRight w:val="0"/>
      <w:marTop w:val="0"/>
      <w:marBottom w:val="0"/>
      <w:divBdr>
        <w:top w:val="none" w:sz="0" w:space="0" w:color="auto"/>
        <w:left w:val="none" w:sz="0" w:space="0" w:color="auto"/>
        <w:bottom w:val="none" w:sz="0" w:space="0" w:color="auto"/>
        <w:right w:val="none" w:sz="0" w:space="0" w:color="auto"/>
      </w:divBdr>
    </w:div>
    <w:div w:id="1921525146">
      <w:bodyDiv w:val="1"/>
      <w:marLeft w:val="0"/>
      <w:marRight w:val="0"/>
      <w:marTop w:val="0"/>
      <w:marBottom w:val="0"/>
      <w:divBdr>
        <w:top w:val="none" w:sz="0" w:space="0" w:color="auto"/>
        <w:left w:val="none" w:sz="0" w:space="0" w:color="auto"/>
        <w:bottom w:val="none" w:sz="0" w:space="0" w:color="auto"/>
        <w:right w:val="none" w:sz="0" w:space="0" w:color="auto"/>
      </w:divBdr>
    </w:div>
    <w:div w:id="1931771367">
      <w:bodyDiv w:val="1"/>
      <w:marLeft w:val="0"/>
      <w:marRight w:val="0"/>
      <w:marTop w:val="0"/>
      <w:marBottom w:val="0"/>
      <w:divBdr>
        <w:top w:val="none" w:sz="0" w:space="0" w:color="auto"/>
        <w:left w:val="none" w:sz="0" w:space="0" w:color="auto"/>
        <w:bottom w:val="none" w:sz="0" w:space="0" w:color="auto"/>
        <w:right w:val="none" w:sz="0" w:space="0" w:color="auto"/>
      </w:divBdr>
    </w:div>
    <w:div w:id="1971128684">
      <w:bodyDiv w:val="1"/>
      <w:marLeft w:val="0"/>
      <w:marRight w:val="0"/>
      <w:marTop w:val="0"/>
      <w:marBottom w:val="0"/>
      <w:divBdr>
        <w:top w:val="none" w:sz="0" w:space="0" w:color="auto"/>
        <w:left w:val="none" w:sz="0" w:space="0" w:color="auto"/>
        <w:bottom w:val="none" w:sz="0" w:space="0" w:color="auto"/>
        <w:right w:val="none" w:sz="0" w:space="0" w:color="auto"/>
      </w:divBdr>
    </w:div>
    <w:div w:id="1990867532">
      <w:bodyDiv w:val="1"/>
      <w:marLeft w:val="0"/>
      <w:marRight w:val="0"/>
      <w:marTop w:val="0"/>
      <w:marBottom w:val="0"/>
      <w:divBdr>
        <w:top w:val="none" w:sz="0" w:space="0" w:color="auto"/>
        <w:left w:val="none" w:sz="0" w:space="0" w:color="auto"/>
        <w:bottom w:val="none" w:sz="0" w:space="0" w:color="auto"/>
        <w:right w:val="none" w:sz="0" w:space="0" w:color="auto"/>
      </w:divBdr>
    </w:div>
    <w:div w:id="2002544540">
      <w:bodyDiv w:val="1"/>
      <w:marLeft w:val="0"/>
      <w:marRight w:val="0"/>
      <w:marTop w:val="0"/>
      <w:marBottom w:val="0"/>
      <w:divBdr>
        <w:top w:val="none" w:sz="0" w:space="0" w:color="auto"/>
        <w:left w:val="none" w:sz="0" w:space="0" w:color="auto"/>
        <w:bottom w:val="none" w:sz="0" w:space="0" w:color="auto"/>
        <w:right w:val="none" w:sz="0" w:space="0" w:color="auto"/>
      </w:divBdr>
    </w:div>
    <w:div w:id="2007316272">
      <w:bodyDiv w:val="1"/>
      <w:marLeft w:val="0"/>
      <w:marRight w:val="0"/>
      <w:marTop w:val="0"/>
      <w:marBottom w:val="0"/>
      <w:divBdr>
        <w:top w:val="none" w:sz="0" w:space="0" w:color="auto"/>
        <w:left w:val="none" w:sz="0" w:space="0" w:color="auto"/>
        <w:bottom w:val="none" w:sz="0" w:space="0" w:color="auto"/>
        <w:right w:val="none" w:sz="0" w:space="0" w:color="auto"/>
      </w:divBdr>
    </w:div>
    <w:div w:id="2009284553">
      <w:bodyDiv w:val="1"/>
      <w:marLeft w:val="0"/>
      <w:marRight w:val="0"/>
      <w:marTop w:val="0"/>
      <w:marBottom w:val="0"/>
      <w:divBdr>
        <w:top w:val="none" w:sz="0" w:space="0" w:color="auto"/>
        <w:left w:val="none" w:sz="0" w:space="0" w:color="auto"/>
        <w:bottom w:val="none" w:sz="0" w:space="0" w:color="auto"/>
        <w:right w:val="none" w:sz="0" w:space="0" w:color="auto"/>
      </w:divBdr>
    </w:div>
    <w:div w:id="2020425432">
      <w:bodyDiv w:val="1"/>
      <w:marLeft w:val="0"/>
      <w:marRight w:val="0"/>
      <w:marTop w:val="0"/>
      <w:marBottom w:val="0"/>
      <w:divBdr>
        <w:top w:val="none" w:sz="0" w:space="0" w:color="auto"/>
        <w:left w:val="none" w:sz="0" w:space="0" w:color="auto"/>
        <w:bottom w:val="none" w:sz="0" w:space="0" w:color="auto"/>
        <w:right w:val="none" w:sz="0" w:space="0" w:color="auto"/>
      </w:divBdr>
    </w:div>
    <w:div w:id="2029409755">
      <w:bodyDiv w:val="1"/>
      <w:marLeft w:val="0"/>
      <w:marRight w:val="0"/>
      <w:marTop w:val="0"/>
      <w:marBottom w:val="0"/>
      <w:divBdr>
        <w:top w:val="none" w:sz="0" w:space="0" w:color="auto"/>
        <w:left w:val="none" w:sz="0" w:space="0" w:color="auto"/>
        <w:bottom w:val="none" w:sz="0" w:space="0" w:color="auto"/>
        <w:right w:val="none" w:sz="0" w:space="0" w:color="auto"/>
      </w:divBdr>
    </w:div>
    <w:div w:id="2085487413">
      <w:bodyDiv w:val="1"/>
      <w:marLeft w:val="0"/>
      <w:marRight w:val="0"/>
      <w:marTop w:val="0"/>
      <w:marBottom w:val="0"/>
      <w:divBdr>
        <w:top w:val="none" w:sz="0" w:space="0" w:color="auto"/>
        <w:left w:val="none" w:sz="0" w:space="0" w:color="auto"/>
        <w:bottom w:val="none" w:sz="0" w:space="0" w:color="auto"/>
        <w:right w:val="none" w:sz="0" w:space="0" w:color="auto"/>
      </w:divBdr>
    </w:div>
    <w:div w:id="21396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sonline.informs.org/action/doSearch?text1=Savor%2C+Pavel&amp;field1=Contr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sonline.informs.org/action/doSearch?text1=Roussanov%2C+Nikolai&amp;field1=Contrib"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07E-304F-4345-A257-3ED7E512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33</Pages>
  <Words>8419</Words>
  <Characters>47990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Berasategui Gallego</dc:creator>
  <cp:keywords/>
  <dc:description/>
  <cp:lastModifiedBy>Juan Berasategui</cp:lastModifiedBy>
  <cp:revision>8</cp:revision>
  <cp:lastPrinted>2022-05-20T16:27:00Z</cp:lastPrinted>
  <dcterms:created xsi:type="dcterms:W3CDTF">2022-05-20T16:15:00Z</dcterms:created>
  <dcterms:modified xsi:type="dcterms:W3CDTF">2022-05-26T12:29:00Z</dcterms:modified>
</cp:coreProperties>
</file>