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120,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300"/>
      </w:pPr>
      <w:r>
        <w:rPr>
          <w:b/>
        </w:rPr>
        <w:t xml:space="preserve">     I. </w:t>
      </w:r>
      <w:r>
        <w:t>Revogar a resolução PPGCTA nº. 20, de 10/03/2026;</w:t>
      </w:r>
    </w:p>
    <w:p>
      <w:pPr>
        <w:spacing w:after="300"/>
      </w:pPr>
      <w:r>
        <w:rPr>
          <w:b/>
        </w:rPr>
        <w:t xml:space="preserve">     II. </w:t>
      </w:r>
      <w:r>
        <w:t>Informar que esta resolução entra em vigor na data de sua publicação.</w:t>
      </w:r>
    </w:p>
    <w:p>
      <w:pPr>
        <w:spacing w:after="20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