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182,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Homologar em bloco as resoluções </w:t>
      </w:r>
      <w:r>
        <w:rPr>
          <w:b/>
        </w:rPr>
        <w:t>010-2025, 011-2025, 110-2025</w:t>
      </w:r>
      <w:r/>
      <w:r>
        <w:t xml:space="preserve">, emitida(s) </w:t>
      </w:r>
      <w:r>
        <w:rPr>
          <w:i/>
        </w:rPr>
        <w:t>Ad Referendum</w:t>
      </w:r>
      <w:r>
        <w:t xml:space="preserve"> pela coordenação do PPGCTA.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