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Homologar em bloco as resoluções </w:t>
      </w:r>
      <w:r>
        <w:rPr>
          <w:b/>
        </w:rPr>
        <w:t>100-2025, 101-2025</w:t>
      </w:r>
      <w:r/>
      <w:r>
        <w:t xml:space="preserve">, emitida(s) </w:t>
      </w:r>
      <w:r>
        <w:rPr>
          <w:i/>
        </w:rPr>
        <w:t>Ad Referendum</w:t>
      </w:r>
      <w:r>
        <w:t xml:space="preserve"> pela coordenação do PPGCTA.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