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400"/>
        <w:jc w:val="center"/>
      </w:pPr>
      <w:r>
        <w:rPr>
          <w:sz w:val="28"/>
        </w:rPr>
        <w:t>RESOLUÇÃO 127, DE 07 DE NOVEMBRO DE 2024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06/11/2024, resolve:</w:t>
      </w:r>
    </w:p>
    <w:p>
      <w:pPr>
        <w:spacing w:after="2000"/>
        <w:jc w:val="both"/>
      </w:pPr>
      <w:r>
        <w:t xml:space="preserve">      Homologar em bloco as resoluções </w:t>
      </w:r>
      <w:r>
        <w:rPr>
          <w:b/>
        </w:rPr>
        <w:t xml:space="preserve">45-2022, 123-2024, 124-2024 </w:t>
      </w:r>
      <w:r>
        <w:t>emitidas Ad Referendum pela coordenação do PPGCTA. Todas os documentos citados nesta resolução encontram-se em anexo.</w:t>
      </w: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