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>
      <w:pPr>
        <w:pStyle w:val="Heading1"/>
        <w:spacing w:after="300"/>
        <w:jc w:val="center"/>
      </w:pPr>
      <w:r>
        <w:rPr>
          <w:sz w:val="28"/>
        </w:rPr>
        <w:t>RESOLUÇÃO Nº. 008, DE 30 DE JANEIRO DE 2025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29/01/2025, resolve:</w:t>
      </w:r>
    </w:p>
    <w:p>
      <w:pPr>
        <w:spacing w:after="2000"/>
        <w:jc w:val="both"/>
      </w:pPr>
      <w:r>
        <w:t xml:space="preserve">      Homologar em bloco as resoluções </w:t>
      </w:r>
      <w:r>
        <w:rPr>
          <w:b/>
        </w:rPr>
        <w:t>001-2025, 003-2025, 004-2025, 005-2025</w:t>
      </w:r>
      <w:r>
        <w:t>, emitidas Ad Referendum pela coordenação do PPGCTA. Todas os documentos citados nesta resolução encontram-se em anexo.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Coordenadora do Programa de Pós-Graduação em Ciência e Tecnologia Ambiental</w:t>
      </w:r>
    </w:p>
    <w:sectPr>
      <w:headerReference r:id="rId6" w:type="default"/>
      <w:footerReference r:id="rId7" w:type="default"/>
      <w:pgSz w:h="16838" w:w="11906" w:orient="portrait"/>
      <w:pgMar w:bottom="2080" w:top="2744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42100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21" l="-1" r="-1" t="-21"/>
                  <a:stretch>
                    <a:fillRect/>
                  </a:stretch>
                </pic:blipFill>
                <pic:spPr>
                  <a:xfrm>
                    <a:off x="0" y="0"/>
                    <a:ext cx="5905500" cy="4210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84264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10" l="-1" r="-1" t="-9"/>
                  <a:stretch>
                    <a:fillRect/>
                  </a:stretch>
                </pic:blipFill>
                <pic:spPr>
                  <a:xfrm>
                    <a:off x="0" y="0"/>
                    <a:ext cx="5905500" cy="84264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