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052, DE 13 DE MAIO DE 2025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12/05/2025, resolve:</w:t>
      </w:r>
    </w:p>
    <w:p>
      <w:pPr>
        <w:spacing w:after="400"/>
        <w:jc w:val="both"/>
      </w:pPr>
      <w:r>
        <w:t xml:space="preserve">      APROVAR os pedidos de cancelamento de matrícula nas disciplinas,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5"/>
        <w:gridCol w:w="591"/>
        <w:gridCol w:w="433"/>
        <w:gridCol w:w="79"/>
      </w:tblGrid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DISCIPLINA(S)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DOCENTE(S) RESPONSÁVEL(EIS)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SEMESTRE DE OFERTA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Luciana Aquino Concianza(Doutorado)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Seminários II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Rozanna Marques Muzzi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2025/2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Rita de Cassia Gonçalves Marques(Doutorado)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Seminários I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Rozanna Marques Muzzi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2025/2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