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APROVAR o cancelamento da disciplina “</w:t>
      </w:r>
      <w:r>
        <w:rPr>
          <w:b/>
        </w:rPr>
        <w:t>CIÊNCIA DOS MATERIAIS I</w:t>
      </w:r>
      <w:r>
        <w:t xml:space="preserve">”, </w:t>
      </w:r>
      <w:r>
        <w:t xml:space="preserve">que seria ministrada pelo(a) docente </w:t>
      </w:r>
      <w:r>
        <w:rPr>
          <w:u w:val="single"/>
        </w:rPr>
        <w:t>Eriton Botero</w:t>
      </w:r>
      <w:r>
        <w:t xml:space="preserve"> no segundo semestre de 2025. Cancelamento justificado por inexistência de inscritos na disciplina.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