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0"/>
        <w:jc w:val="both"/>
      </w:pPr>
      <w:r>
        <w:t xml:space="preserve">      Homologar em bloco as resoluções </w:t>
      </w:r>
      <w:r>
        <w:rPr>
          <w:b/>
        </w:rPr>
        <w:t>1-2026, 2-2026</w:t>
      </w:r>
      <w:r>
        <w:t>, emitidas Ad Referendum pela coordenação do PPGCTA. Todas os documentos citados nesta resolução encontram-se em anexo.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