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Aprovar o credenciamento do(a) professor(a) </w:t>
      </w:r>
      <w:r>
        <w:rPr>
          <w:b/>
        </w:rPr>
        <w:t>Juan Bevilaqua</w:t>
      </w:r>
      <w:r>
        <w:t>,</w:t>
      </w:r>
      <w:r>
        <w:t xml:space="preserve">como </w:t>
      </w:r>
      <w:r>
        <w:rPr>
          <w:u w:val="single"/>
        </w:rPr>
        <w:t>Permanente</w:t>
      </w:r>
      <w:r>
        <w:t>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