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Programa GCUB-MOB do </w:t>
      </w:r>
      <w:r>
        <w:rPr>
          <w:u w:val="single"/>
        </w:rPr>
        <w:t>primeiro semestre de 2025</w:t>
      </w:r>
      <w:r>
        <w:t>, conforme segue: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