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85,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 o cancelamento da disciplina “</w:t>
      </w:r>
      <w:r>
        <w:rPr>
          <w:b/>
        </w:rPr>
        <w:t>Ciência dos Materiais II</w:t>
      </w:r>
      <w:r>
        <w:t>”,</w:t>
      </w:r>
      <w:r>
        <w:t xml:space="preserve">que seria ministrada pelo(a) docente </w:t>
      </w:r>
      <w:r>
        <w:rPr>
          <w:u w:val="single"/>
        </w:rPr>
        <w:t>Eriton Botero</w:t>
      </w:r>
      <w:r>
        <w:t xml:space="preserve"> no segundo semestre de 2025. Cancelamento justificado pela ['Outro(s)'].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