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98,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jc w:val="both"/>
      </w:pPr>
      <w:r>
        <w:t xml:space="preserve">      I. Aprovar o afastamento do(a) discente de Mestrado, </w:t>
      </w:r>
      <w:r>
        <w:rPr>
          <w:b/>
        </w:rPr>
        <w:t>Juan</w:t>
      </w:r>
      <w:r>
        <w:t>, por 20 dias, justificado por motivos particulares do(a) discente..</w:t>
      </w:r>
    </w:p>
    <w:p>
      <w:pPr>
        <w:spacing w:after="2000"/>
        <w:jc w:val="both"/>
      </w:pPr>
      <w:r>
        <w:t xml:space="preserve">       II. Informar a suspensão das atividades do(a) discente no programa no período de </w:t>
      </w:r>
      <w:r>
        <w:rPr>
          <w:b/>
        </w:rPr>
        <w:t>10/03/2026 a 10/03/2027.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p>
      <w:pPr>
        <w:spacing w:after="200"/>
      </w:pPr>
    </w:p>
    <w:p>
      <w:pPr>
        <w:jc w:val="center"/>
      </w:pPr>
      <w:r>
        <w:rPr>
          <w:i/>
          <w:sz w:val="20"/>
        </w:rPr>
        <w:t>Resolução republicada em 10/03/2026 para realização de Selecione.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