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003,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APROVAR, o número de vagas para o Processo Seletivo de Alunos Regulares do </w:t>
      </w:r>
      <w:r>
        <w:rPr>
          <w:u w:val="single"/>
        </w:rPr>
        <w:t>segundo semestre de 2026</w:t>
      </w:r>
      <w:r>
        <w:t>, conforme segue:</w:t>
      </w:r>
    </w:p>
    <w:p>
      <w:r>
        <w:rPr>
          <w:b/>
        </w:rPr>
        <w:t xml:space="preserve">     • </w:t>
      </w:r>
      <w:r>
        <w:t>MESTRADO: 15 vagas</w:t>
      </w:r>
    </w:p>
    <w:p>
      <w:r>
        <w:rPr>
          <w:b/>
        </w:rPr>
        <w:t xml:space="preserve">     • </w:t>
      </w:r>
      <w:r>
        <w:t>DOUTORADO: 12 vagas</w:t>
      </w:r>
    </w:p>
    <w:p>
      <w:pPr>
        <w:spacing w:after="1600"/>
      </w:pPr>
    </w:p>
    <w:p>
      <w:pPr>
        <w:pStyle w:val="Heading5"/>
        <w:jc w:val="center"/>
      </w:pPr>
      <w:r>
        <w:t>Juan Bevilaqua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