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Planeación de seguridad y modelo de datos del taller automotriz</w:t>
      </w:r>
    </w:p>
    <w:p>
      <w:r>
        <w:t>Documento de continuidad  |  Fase de planeación previa al modelo SQL Server  |  23 de septiembre de 2026</w:t>
      </w:r>
    </w:p>
    <w:p>
      <w:r>
        <w:t>Este documento consolida las decisiones conceptuales tomadas después del diseño preliminar de la base de datos. Define cómo accederán el personal y los clientes, qué información podrá mostrar el portal, las entidades añadidas al modelo y el alcance de las primeras versiones. Es una especificación de planeación: los tipos SQL, restricciones e índices siguen pendientes de diseño.</w:t>
      </w:r>
    </w:p>
    <w:p>
      <w:pPr>
        <w:pStyle w:val="Heading1"/>
      </w:pPr>
      <w:r>
        <w:t>1 Acceso y autenticación</w:t>
      </w:r>
    </w:p>
    <w:p>
      <w:r>
        <w:t>El panel interno y el portal del cliente se separan por rutas y permisos. El personal inicia sesión con credenciales y sus acciones se autorizan en el servidor según su rol. Las interfaces pueden ocultar funciones, pero cada operación debe volver a comprobar la autorización en el backend.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DE8F1"/>
          </w:tcPr>
          <w:p>
            <w:pPr>
              <w:spacing w:after="60"/>
            </w:pPr>
            <w:r>
              <w:rPr>
                <w:b/>
              </w:rPr>
              <w:t>Área</w:t>
            </w:r>
          </w:p>
        </w:tc>
        <w:tc>
          <w:tcPr>
            <w:tcW w:type="dxa" w:w="3264"/>
            <w:vAlign w:val="center"/>
            <w:shd w:fill="DDE8F1"/>
          </w:tcPr>
          <w:p>
            <w:pPr>
              <w:spacing w:after="60"/>
            </w:pPr>
            <w:r>
              <w:rPr>
                <w:b/>
              </w:rPr>
              <w:t>Usuarios</w:t>
            </w:r>
          </w:p>
        </w:tc>
        <w:tc>
          <w:tcPr>
            <w:tcW w:type="dxa" w:w="3264"/>
            <w:vAlign w:val="center"/>
            <w:shd w:fill="DDE8F1"/>
          </w:tcPr>
          <w:p>
            <w:pPr>
              <w:spacing w:after="60"/>
            </w:pPr>
            <w:r>
              <w:rPr>
                <w:b/>
              </w:rPr>
              <w:t>Acceso propuesto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60"/>
            </w:pPr>
            <w:r>
              <w:t>Panel interno</w:t>
            </w:r>
          </w:p>
        </w:tc>
        <w:tc>
          <w:tcPr>
            <w:tcW w:type="dxa" w:w="3264"/>
            <w:vAlign w:val="center"/>
          </w:tcPr>
          <w:p>
            <w:pPr>
              <w:spacing w:after="60"/>
            </w:pPr>
            <w:r>
              <w:t>Administrador, recepción y mecánico</w:t>
            </w:r>
          </w:p>
        </w:tc>
        <w:tc>
          <w:tcPr>
            <w:tcW w:type="dxa" w:w="3264"/>
            <w:vAlign w:val="center"/>
          </w:tcPr>
          <w:p>
            <w:pPr>
              <w:spacing w:after="60"/>
            </w:pPr>
            <w:r>
              <w:t>Cuenta personal, contraseña protegida y permisos por rol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60"/>
            </w:pPr>
            <w:r>
              <w:t>Seguimiento</w:t>
            </w:r>
          </w:p>
        </w:tc>
        <w:tc>
          <w:tcPr>
            <w:tcW w:type="dxa" w:w="3264"/>
            <w:vAlign w:val="center"/>
          </w:tcPr>
          <w:p>
            <w:pPr>
              <w:spacing w:after="60"/>
            </w:pPr>
            <w:r>
              <w:t>Cliente de una orden específica</w:t>
            </w:r>
          </w:p>
        </w:tc>
        <w:tc>
          <w:tcPr>
            <w:tcW w:type="dxa" w:w="3264"/>
            <w:vAlign w:val="center"/>
          </w:tcPr>
          <w:p>
            <w:pPr>
              <w:spacing w:after="60"/>
            </w:pPr>
            <w:r>
              <w:t>QR con token impredecible o folio y código de seguimiento</w:t>
            </w:r>
          </w:p>
        </w:tc>
      </w:tr>
    </w:tbl>
    <w:p/>
    <w:p>
      <w:r>
        <w:t>En esta etapa no se requiere que cada cliente cree una cuenta. Un eventual acceso al historial completo mediante cuenta quedaría para una versión posterior.</w:t>
      </w:r>
    </w:p>
    <w:p>
      <w:pPr>
        <w:pStyle w:val="Heading1"/>
      </w:pPr>
      <w:r>
        <w:t>2 Seguimiento mediante QR y código</w:t>
      </w:r>
    </w:p>
    <w:p>
      <w:r>
        <w:t>Al crear una orden se entrega un folio visible, un código de seguimiento y un QR. El QR apunta a una dirección que incorpora un token aleatorio; no contiene placas, VIN, datos personales ni diagnóstico. La consulta manual requiere folio y código. El folio por sí solo no autoriza el acceso.</w:t>
      </w:r>
    </w:p>
    <w:p>
      <w:r>
        <w:t>La tabla propuesta ACCESOS_SEGUIMIENTO vincula cada credencial temporal con una orden y registra identificador, hash del token, hash del código, creación, vencimiento, estado, último acceso e intentos fallidos. Se deben prever revocación, regeneración y límites a intentos repetidos. El acceso podría continuar un periodo configurable tras la entrega; el plazo exacto está por decidir.</w:t>
      </w:r>
    </w:p>
    <w:p>
      <w:r>
        <w:t>Cada petición debe resolver la orden desde la credencial validada y limitar las consultas a ese OrdenServicioId. No se acepta un identificador enviado por el navegador como prueba de autorización para leer otra orden o sus archivos.</w:t>
      </w:r>
    </w:p>
    <w:p>
      <w:pPr>
        <w:pStyle w:val="Heading1"/>
      </w:pPr>
      <w:r>
        <w:t>3 Contenido del portal y comunicación</w:t>
      </w:r>
    </w:p>
    <w:p>
      <w:r>
        <w:t>El cliente verá vehículo, folio, estado simplificado, etapas del proceso y fecha de última actualización. Solo se publicarán textos y evidencias marcados para el cliente. Las notas de trabajo internas no se convierten automáticamente en mensajes públicos.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DE8F1"/>
          </w:tcPr>
          <w:p>
            <w:pPr>
              <w:spacing w:after="60"/>
            </w:pPr>
            <w:r>
              <w:rPr>
                <w:b/>
              </w:rPr>
              <w:t>Entidad propuesta</w:t>
            </w:r>
          </w:p>
        </w:tc>
        <w:tc>
          <w:tcPr>
            <w:tcW w:type="dxa" w:w="3264"/>
            <w:vAlign w:val="center"/>
            <w:shd w:fill="DDE8F1"/>
          </w:tcPr>
          <w:p>
            <w:pPr>
              <w:spacing w:after="60"/>
            </w:pPr>
            <w:r>
              <w:rPr>
                <w:b/>
              </w:rPr>
              <w:t>Contenido principal</w:t>
            </w:r>
          </w:p>
        </w:tc>
        <w:tc>
          <w:tcPr>
            <w:tcW w:type="dxa" w:w="3264"/>
            <w:vAlign w:val="center"/>
            <w:shd w:fill="DDE8F1"/>
          </w:tcPr>
          <w:p>
            <w:pPr>
              <w:spacing w:after="60"/>
            </w:pPr>
            <w:r>
              <w:rPr>
                <w:b/>
              </w:rPr>
              <w:t>Uso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60"/>
            </w:pPr>
            <w:r>
              <w:t>ACTUALIZACIONES_ORDEN</w:t>
            </w:r>
          </w:p>
        </w:tc>
        <w:tc>
          <w:tcPr>
            <w:tcW w:type="dxa" w:w="3264"/>
            <w:vAlign w:val="center"/>
          </w:tcPr>
          <w:p>
            <w:pPr>
              <w:spacing w:after="60"/>
            </w:pPr>
            <w:r>
              <w:t>Orden, autor, título, mensaje, visibilidad y fecha</w:t>
            </w:r>
          </w:p>
        </w:tc>
        <w:tc>
          <w:tcPr>
            <w:tcW w:type="dxa" w:w="3264"/>
            <w:vAlign w:val="center"/>
          </w:tcPr>
          <w:p>
            <w:pPr>
              <w:spacing w:after="60"/>
            </w:pPr>
            <w:r>
              <w:t>Cronología pública o interna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60"/>
            </w:pPr>
            <w:r>
              <w:t>NOTIFICACIONES</w:t>
            </w:r>
          </w:p>
        </w:tc>
        <w:tc>
          <w:tcPr>
            <w:tcW w:type="dxa" w:w="3264"/>
            <w:vAlign w:val="center"/>
          </w:tcPr>
          <w:p>
            <w:pPr>
              <w:spacing w:after="60"/>
            </w:pPr>
            <w:r>
              <w:t>Cliente, orden, tipo, título, mensaje, canal, estado y fechas</w:t>
            </w:r>
          </w:p>
        </w:tc>
        <w:tc>
          <w:tcPr>
            <w:tcW w:type="dxa" w:w="3264"/>
            <w:vAlign w:val="center"/>
          </w:tcPr>
          <w:p>
            <w:pPr>
              <w:spacing w:after="60"/>
            </w:pPr>
            <w:r>
              <w:t>Registro de avisos dentro del sistema y por correo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60"/>
            </w:pPr>
            <w:r>
              <w:t>EVIDENCIAS</w:t>
            </w:r>
          </w:p>
        </w:tc>
        <w:tc>
          <w:tcPr>
            <w:tcW w:type="dxa" w:w="3264"/>
            <w:vAlign w:val="center"/>
          </w:tcPr>
          <w:p>
            <w:pPr>
              <w:spacing w:after="60"/>
            </w:pPr>
            <w:r>
              <w:t>Orden, tipo, referencia de archivo, descripción, visibilidad y autor</w:t>
            </w:r>
          </w:p>
        </w:tc>
        <w:tc>
          <w:tcPr>
            <w:tcW w:type="dxa" w:w="3264"/>
            <w:vAlign w:val="center"/>
          </w:tcPr>
          <w:p>
            <w:pPr>
              <w:spacing w:after="60"/>
            </w:pPr>
            <w:r>
              <w:t>Fotos y archivos vinculados a una orden</w:t>
            </w:r>
          </w:p>
        </w:tc>
      </w:tr>
    </w:tbl>
    <w:p/>
    <w:p>
      <w:r>
        <w:t>Eventos sugeridos para avisar: confirmación y proximidad de cita, recepción, diagnóstico concluido, cotización nueva o modificada, inicio de reparación, hallazgo adicional y vehículo listo. WhatsApp se plantea para una fase posterior.</w:t>
      </w:r>
    </w:p>
    <w:p>
      <w:pPr>
        <w:pStyle w:val="Heading1"/>
      </w:pPr>
      <w:r>
        <w:t>4 Cotizaciones y autorización</w:t>
      </w:r>
    </w:p>
    <w:p>
      <w:r>
        <w:t>Cada cotización conserva su versión. Una versión autorizada no se sobrescribe; cualquier cambio genera otra versión y mantiene el historial. La autorización señala exactamente la versión presentada al cliente. Los conceptos sin autorización permanecen registrados y no habilitan trabajos.</w:t>
      </w:r>
    </w:p>
    <w:p>
      <w:r>
        <w:t>Para autorización parcial se propone DETALLE_AUTORIZACION con referencia a la autorización y al concepto de DETALLE_COTIZACION, indicador de aprobación y comentario. La implementación deberá definir cómo se tratan las dependencias entre conceptos, por ejemplo mano de obra asociada a una refacción, antes de habilitar la aprobación digital.</w:t>
      </w:r>
    </w:p>
    <w:p>
      <w:r>
        <w:t>La autorización digital está prevista para la segunda versión. En el MVP, la autorización se registra desde el personal del taller con evidencia del consentimiento según el procedimiento que se determine.</w:t>
      </w:r>
    </w:p>
    <w:p>
      <w:pPr>
        <w:pStyle w:val="Heading1"/>
      </w:pPr>
      <w:r>
        <w:t>5 Asignaciones y operación de órdenes</w:t>
      </w:r>
    </w:p>
    <w:p>
      <w:r>
        <w:t>ASIGNACIONES_ORDEN vincula orden, usuario, fecha inicial y final, tipo de participación y vigencia. Permite registrar responsable y mecánicos de apoyo. La prioridad se representa mediante un catálogo PRIORIDADES_ORDEN con valores iniciales Normal, Alta y Urgente.</w:t>
      </w:r>
    </w:p>
    <w:p>
      <w:r>
        <w:t>La orden registra ingreso, entrega estimada y entrega real. Estos datos permiten medir retrasos y duración de reparación. Las marcas y modelos permanecen como texto en VEHICULOS durante el MVP; un catálogo puede añadirse cuando haya una necesidad de normalización.</w:t>
      </w:r>
    </w:p>
    <w:p>
      <w:r>
        <w:t>Clientes, vehículos, usuarios y servicios se desactivan para preservar sus relaciones históricas. Órdenes, cotizaciones, pagos y bitácoras se conservan. Un identificador interno es la clave de cada registro y el folio visible tiene una restricción de unicidad propia.</w:t>
      </w:r>
    </w:p>
    <w:p>
      <w:pPr>
        <w:pStyle w:val="Heading1"/>
      </w:pPr>
      <w:r>
        <w:t>6 Relaciones del modelo actualizado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DE8F1"/>
          </w:tcPr>
          <w:p>
            <w:pPr>
              <w:spacing w:after="60"/>
            </w:pPr>
            <w:r>
              <w:rPr>
                <w:b/>
              </w:rPr>
              <w:t>Entidad principal</w:t>
            </w:r>
          </w:p>
        </w:tc>
        <w:tc>
          <w:tcPr>
            <w:tcW w:type="dxa" w:w="4896"/>
            <w:vAlign w:val="center"/>
            <w:shd w:fill="DDE8F1"/>
          </w:tcPr>
          <w:p>
            <w:pPr>
              <w:spacing w:after="60"/>
            </w:pPr>
            <w:r>
              <w:rPr>
                <w:b/>
              </w:rPr>
              <w:t>Relaciones relevantes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60"/>
            </w:pPr>
            <w:r>
              <w:t>CLIENTES</w:t>
            </w:r>
          </w:p>
        </w:tc>
        <w:tc>
          <w:tcPr>
            <w:tcW w:type="dxa" w:w="4896"/>
            <w:vAlign w:val="center"/>
          </w:tcPr>
          <w:p>
            <w:pPr>
              <w:spacing w:after="60"/>
            </w:pPr>
            <w:r>
              <w:t>VEHICULOS, CITAS y NOTIFICACIONES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60"/>
            </w:pPr>
            <w:r>
              <w:t>VEHICULOS</w:t>
            </w:r>
          </w:p>
        </w:tc>
        <w:tc>
          <w:tcPr>
            <w:tcW w:type="dxa" w:w="4896"/>
            <w:vAlign w:val="center"/>
          </w:tcPr>
          <w:p>
            <w:pPr>
              <w:spacing w:after="60"/>
            </w:pPr>
            <w:r>
              <w:t>CITAS y ORDENES_SERVICIO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60"/>
            </w:pPr>
            <w:r>
              <w:t>ORDENES_SERVICIO</w:t>
            </w:r>
          </w:p>
        </w:tc>
        <w:tc>
          <w:tcPr>
            <w:tcW w:type="dxa" w:w="4896"/>
            <w:vAlign w:val="center"/>
          </w:tcPr>
          <w:p>
            <w:pPr>
              <w:spacing w:after="60"/>
            </w:pPr>
            <w:r>
              <w:t>RECEPCIONES, HISTORIAL_ESTADOS_ORDEN, DIAGNOSTICOS, COTIZACIONES, REPARACIONES, EVIDENCIAS, PRUEBAS_VEHICULO, PAGOS, ENTREGAS, ACCESOS_SEGUIMIENTO, ACTUALIZACIONES_ORDEN y ASIGNACIONES_ORDEN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60"/>
            </w:pPr>
            <w:r>
              <w:t>COTIZACIONES</w:t>
            </w:r>
          </w:p>
        </w:tc>
        <w:tc>
          <w:tcPr>
            <w:tcW w:type="dxa" w:w="4896"/>
            <w:vAlign w:val="center"/>
          </w:tcPr>
          <w:p>
            <w:pPr>
              <w:spacing w:after="60"/>
            </w:pPr>
            <w:r>
              <w:t>DETALLE_COTIZACION y AUTORIZACIONES; estas últimas con DETALLE_AUTORIZACION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60"/>
            </w:pPr>
            <w:r>
              <w:t>USUARIOS</w:t>
            </w:r>
          </w:p>
        </w:tc>
        <w:tc>
          <w:tcPr>
            <w:tcW w:type="dxa" w:w="4896"/>
            <w:vAlign w:val="center"/>
          </w:tcPr>
          <w:p>
            <w:pPr>
              <w:spacing w:after="60"/>
            </w:pPr>
            <w:r>
              <w:t>ROLES, BITACORA, ASIGNACIONES_ORDEN y acciones registradas en otras entidades</w:t>
            </w:r>
          </w:p>
        </w:tc>
      </w:tr>
    </w:tbl>
    <w:p/>
    <w:p>
      <w:r>
        <w:t>Estas relaciones son conceptuales. Al especificar las claves foráneas se revisarán también redundancias, por ejemplo que una cita y su vehículo pertenezcan al mismo cliente y que un concepto aprobado corresponda a la cotización autorizada.</w:t>
      </w:r>
    </w:p>
    <w:p>
      <w:pPr>
        <w:pStyle w:val="Heading1"/>
      </w:pPr>
      <w:r>
        <w:t>7 Alcance por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DE8F1"/>
          </w:tcPr>
          <w:p>
            <w:pPr>
              <w:spacing w:after="60"/>
            </w:pPr>
            <w:r>
              <w:rPr>
                <w:b/>
              </w:rPr>
              <w:t>Versión</w:t>
            </w:r>
          </w:p>
        </w:tc>
        <w:tc>
          <w:tcPr>
            <w:tcW w:type="dxa" w:w="4896"/>
            <w:vAlign w:val="center"/>
            <w:shd w:fill="DDE8F1"/>
          </w:tcPr>
          <w:p>
            <w:pPr>
              <w:spacing w:after="60"/>
            </w:pPr>
            <w:r>
              <w:rPr>
                <w:b/>
              </w:rPr>
              <w:t>Funciones previstas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60"/>
            </w:pPr>
            <w:r>
              <w:t>MVP</w:t>
            </w:r>
          </w:p>
        </w:tc>
        <w:tc>
          <w:tcPr>
            <w:tcW w:type="dxa" w:w="4896"/>
            <w:vAlign w:val="center"/>
          </w:tcPr>
          <w:p>
            <w:pPr>
              <w:spacing w:after="60"/>
            </w:pPr>
            <w:r>
              <w:t>Inicio de sesión y roles básicos; clientes, vehículos, servicios y citas; recepción y checklist; órdenes y estados; diagnóstico, cotización, reparación, evidencias, pruebas y entrega; seguimiento por QR y código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60"/>
            </w:pPr>
            <w:r>
              <w:t>Versión 2</w:t>
            </w:r>
          </w:p>
        </w:tc>
        <w:tc>
          <w:tcPr>
            <w:tcW w:type="dxa" w:w="4896"/>
            <w:vAlign w:val="center"/>
          </w:tcPr>
          <w:p>
            <w:pPr>
              <w:spacing w:after="60"/>
            </w:pPr>
            <w:r>
              <w:t>Autorización digital y parcial, pagos, avisos por correo, métricas y reportes avanzados, historial de cliente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60"/>
            </w:pPr>
            <w:r>
              <w:t>Versión 3</w:t>
            </w:r>
          </w:p>
        </w:tc>
        <w:tc>
          <w:tcPr>
            <w:tcW w:type="dxa" w:w="4896"/>
            <w:vAlign w:val="center"/>
          </w:tcPr>
          <w:p>
            <w:pPr>
              <w:spacing w:after="60"/>
            </w:pPr>
            <w:r>
              <w:t>Inventario de refacciones, proveedores, compras, WhatsApp, facturación, sucursales y aplicación móvil</w:t>
            </w:r>
          </w:p>
        </w:tc>
      </w:tr>
    </w:tbl>
    <w:p/>
    <w:p>
      <w:r>
        <w:t>El MVP permite demostrar una orden desde la recepción hasta la entrega. La regla comercial de pago previo a entrega, mencionada en el flujo anterior, deberá reconciliarse con esta división: si se exige cobrar antes de entregar desde el primer lanzamiento, pagos pasa al MVP.</w:t>
      </w:r>
    </w:p>
    <w:p>
      <w:pPr>
        <w:pStyle w:val="Heading1"/>
      </w:pPr>
      <w:r>
        <w:t>8 Próxima fase de diseño</w:t>
      </w:r>
    </w:p>
    <w:p>
      <w:r>
        <w:t>El siguiente entregable es el modelo de datos definitivo. Para cada tabla se especificarán propósito, columnas y tipos de SQL Server, PK, FK, nulabilidad, valores predeterminados, unicidad, restricciones CHECK, cardinalidad, índices y reglas de negocio. Después se podrá preparar el diagrama entidad relación y el script SQL.</w:t>
      </w:r>
    </w:p>
    <w:p>
      <w:pPr>
        <w:pStyle w:val="Heading2"/>
      </w:pPr>
      <w:r>
        <w:t>Decisiones que requieren cierre técnico</w:t>
      </w:r>
    </w:p>
    <w:p>
      <w:pPr>
        <w:pStyle w:val="ListBullet"/>
      </w:pPr>
      <w:r>
        <w:t>Plazo de vigencia del QR y código después de la entrega, política de revocación y recuperación.</w:t>
      </w:r>
    </w:p>
    <w:p>
      <w:pPr>
        <w:pStyle w:val="ListBullet"/>
      </w:pPr>
      <w:r>
        <w:t>Permisos exactos por rol y acciones reservadas al administrador.</w:t>
      </w:r>
    </w:p>
    <w:p>
      <w:pPr>
        <w:pStyle w:val="ListBullet"/>
      </w:pPr>
      <w:r>
        <w:t>Reglas de transición entre estados, incluidos rechazos de pruebas y nuevas cotizaciones.</w:t>
      </w:r>
    </w:p>
    <w:p>
      <w:pPr>
        <w:pStyle w:val="ListBullet"/>
      </w:pPr>
      <w:r>
        <w:t>Tratamiento de autorizaciones parciales y evidencia del consentimiento presencial o digital.</w:t>
      </w:r>
    </w:p>
    <w:p>
      <w:pPr>
        <w:pStyle w:val="ListBullet"/>
      </w:pPr>
      <w:r>
        <w:t>Inclusión de pagos en el MVP si la entrega exige saldo liquidado.</w:t>
      </w:r>
    </w:p>
    <w:p>
      <w:pPr>
        <w:pStyle w:val="ListBullet"/>
      </w:pPr>
      <w:r>
        <w:t>Política de archivos, tamaño permitido, acceso a evidencias y retención.</w:t>
      </w:r>
    </w:p>
    <w:sectPr w:rsidR="00FC693F" w:rsidRPr="0006063C" w:rsidSect="00034616">
      <w:footerReference w:type="default" r:id="rId9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Taller automotriz  |  Planeación técnica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