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7 Experimental Specification v1.0</w:t>
      </w:r>
    </w:p>
    <w:p>
      <w:pPr>
        <w:jc w:val="center"/>
      </w:pPr>
      <w:r>
        <w:rPr>
          <w:b/>
          <w:color w:val="0B2F57"/>
          <w:sz w:val="44"/>
        </w:rPr>
        <w:t>Stop Watching the Screen</w:t>
      </w:r>
    </w:p>
    <w:p>
      <w:pPr>
        <w:jc w:val="center"/>
      </w:pPr>
      <w:r>
        <w:rPr>
          <w:i/>
          <w:color w:val="235882"/>
          <w:sz w:val="28"/>
        </w:rPr>
        <w:t>Building Deterministic Computer-Use Agents</w:t>
      </w:r>
    </w:p>
    <w:p>
      <w:pPr>
        <w:jc w:val="center"/>
      </w:pPr>
      <w:r>
        <w:rPr>
          <w:color w:val="5A646E"/>
          <w:sz w:val="19"/>
        </w:rPr>
        <w:t>HarborPoint Distribution Group | Controlled Browser-Automation Benchmark</w:t>
      </w:r>
    </w:p>
    <w:p>
      <w:pPr>
        <w:pStyle w:val="Heading1"/>
      </w:pPr>
      <w:r>
        <w:t>1. Purpose</w:t>
      </w:r>
    </w:p>
    <w:p>
      <w:r>
        <w:t>Chapter 7 tests whether a computer-use agent should repeatedly ask an LLM to rediscover a browser workflow that it has already learned, validated, and safely converted into executable automation.</w:t>
      </w:r>
    </w:p>
    <w:p>
      <w:r>
        <w:t>The experiment extends the book's evidence-first architecture from capability reuse, validated knowledge, workflow orchestration, and deterministic API integration into graphical/browser computer use. The central engineering question is not whether an LLM can operate a browser. It is when the LLM should stop operating the browser and allow validated software to take over.</w:t>
      </w:r>
    </w:p>
    <w:p>
      <w:r>
        <w:t>The experiment must produce auditable evidence before Chapter 7 prose makes any quantitative claim. No savings percentage, call-avoidance rate, latency improvement, or correctness result is assumed in advance.</w:t>
      </w:r>
    </w:p>
    <w:p>
      <w:pPr>
        <w:pStyle w:val="Heading1"/>
      </w:pPr>
      <w:r>
        <w:t>2. Chapter Thesis</w:t>
      </w:r>
    </w:p>
    <w:p>
      <w:pPr>
        <w:spacing w:before="80" w:after="140"/>
        <w:ind w:left="317" w:right="72"/>
        <w:shd w:fill="F3F7FA"/>
        <w:pBdr>
          <w:left w:val="single" w:sz="24" w:color="0EA5E9"/>
          <w:top w:val="single" w:sz="4" w:color="C8DDEA"/>
          <w:bottom w:val="single" w:sz="4" w:color="C8DDEA"/>
        </w:pBdr>
      </w:pPr>
      <w:r>
        <w:rPr>
          <w:rFonts w:ascii="Consolas" w:hAnsi="Consolas"/>
          <w:sz w:val="16"/>
        </w:rPr>
        <w:t>Use the LLM to discover, interpret, and repair UI automation.</w:t>
        <w:br/>
        <w:t>Use deterministic software to repeat validated computer work while its assumptions remain true.</w:t>
      </w:r>
    </w:p>
    <w:p>
      <w:r>
        <w:t>The experiment is designed to distinguish safe reuse from blind replay. A Smart architecture should reuse a learned browser capability only when its page, element, state, and postcondition assumptions still validate. A Naive architecture should demonstrate why maximum replay or minimum LLM usage is not the objective.</w:t>
      </w:r>
    </w:p>
    <w:p>
      <w:pPr>
        <w:pStyle w:val="Heading1"/>
      </w:pPr>
      <w:r>
        <w:t>3. Running Enterprise Scenario</w:t>
      </w:r>
    </w:p>
    <w:p>
      <w:r>
        <w:t>HarborPoint Distribution Group operates a controlled browser-based operations portal used by customer service, billing, warehouse, and logistics staff. Employees repeatedly perform routine browser tasks: locating orders, updating shipment instructions, issuing credits, creating return authorizations, changing customer contacts, and reserving inventory.</w:t>
      </w:r>
    </w:p>
    <w:p>
      <w:r>
        <w:t>For the benchmark, HarborPoint's portal is a local deterministic test application rather than a live third-party website. This gives the experiment stable ground truth, reproducible UI versions, deterministic business rules, controlled UI drift, and auditable success/failure outcomes without making claims about any real vendor's interface.</w:t>
      </w:r>
    </w:p>
    <w:p>
      <w:pPr>
        <w:pStyle w:val="Heading1"/>
      </w:pPr>
      <w:r>
        <w:t>4. Experimental Question</w:t>
      </w:r>
    </w:p>
    <w:p>
      <w:r>
        <w:t>Primary question: Can a Smart Computer-Use Agent preserve audited task correctness while materially reducing repeated LLM browser reasoning by promoting validated UI procedures into deterministic executable capabilities?</w:t>
      </w:r>
    </w:p>
    <w:p>
      <w:r>
        <w:t>Secondary questions:</w:t>
      </w:r>
    </w:p>
    <w:p>
      <w:pPr>
        <w:pStyle w:val="ListBullet"/>
      </w:pPr>
      <w:r>
        <w:t>How many LLM calls can be avoided without accepting stale or incorrect UI replay?</w:t>
      </w:r>
    </w:p>
    <w:p>
      <w:pPr>
        <w:pStyle w:val="ListBullet"/>
      </w:pPr>
      <w:r>
        <w:t>What kinds of UI changes can be handled by deterministic compatibility checks?</w:t>
      </w:r>
    </w:p>
    <w:p>
      <w:pPr>
        <w:pStyle w:val="ListBullet"/>
      </w:pPr>
      <w:r>
        <w:t>When must the system invalidate a stored browser capability and return to LLM reasoning?</w:t>
      </w:r>
    </w:p>
    <w:p>
      <w:pPr>
        <w:pStyle w:val="ListBullet"/>
      </w:pPr>
      <w:r>
        <w:t>What is the measured LLM cost difference among Baseline, Smart, and Naive architectures?</w:t>
      </w:r>
    </w:p>
    <w:p>
      <w:pPr>
        <w:pStyle w:val="ListBullet"/>
      </w:pPr>
      <w:r>
        <w:t>What latency is attributable to LLM reasoning versus deterministic browser execution?</w:t>
      </w:r>
    </w:p>
    <w:p>
      <w:pPr>
        <w:pStyle w:val="ListBullet"/>
      </w:pPr>
      <w:r>
        <w:t>Does a more aggressive reuse strategy become cheaper while producing incorrect or stale actions?</w:t>
      </w:r>
    </w:p>
    <w:p>
      <w:pPr>
        <w:pStyle w:val="Heading1"/>
      </w:pPr>
      <w:r>
        <w:t>5. Hypotheses</w:t>
      </w:r>
    </w:p>
    <w:tbl>
      <w:tblPr>
        <w:tblStyle w:val="TableGrid"/>
        <w:tblW w:type="auto" w:w="0"/>
        <w:jc w:val="center"/>
        <w:tblLook w:firstColumn="1" w:firstRow="1" w:lastColumn="0" w:lastRow="0" w:noHBand="0" w:noVBand="1" w:val="04A0"/>
      </w:tblPr>
      <w:tblGrid>
        <w:gridCol w:w="3331"/>
        <w:gridCol w:w="3331"/>
        <w:gridCol w:w="3331"/>
      </w:tblGrid>
      <w:tr>
        <w:tc>
          <w:tcPr>
            <w:tcW w:type="dxa" w:w="648"/>
            <w:vAlign w:val="center"/>
            <w:shd w:fill="0B2F57"/>
          </w:tcPr>
          <w:p>
            <w:r>
              <w:rPr>
                <w:b/>
                <w:color w:val="FFFFFF"/>
                <w:sz w:val="17"/>
              </w:rPr>
              <w:t>ID</w:t>
            </w:r>
          </w:p>
        </w:tc>
        <w:tc>
          <w:tcPr>
            <w:tcW w:type="dxa" w:w="5256"/>
            <w:vAlign w:val="center"/>
            <w:shd w:fill="0B2F57"/>
          </w:tcPr>
          <w:p>
            <w:r>
              <w:rPr>
                <w:b/>
                <w:color w:val="FFFFFF"/>
                <w:sz w:val="17"/>
              </w:rPr>
              <w:t>Hypothesis</w:t>
            </w:r>
          </w:p>
        </w:tc>
        <w:tc>
          <w:tcPr>
            <w:tcW w:type="dxa" w:w="3744"/>
            <w:vAlign w:val="center"/>
            <w:shd w:fill="0B2F57"/>
          </w:tcPr>
          <w:p>
            <w:r>
              <w:rPr>
                <w:b/>
                <w:color w:val="FFFFFF"/>
                <w:sz w:val="17"/>
              </w:rPr>
              <w:t>Publication Rule</w:t>
            </w:r>
          </w:p>
        </w:tc>
      </w:tr>
      <w:tr>
        <w:tc>
          <w:tcPr>
            <w:tcW w:type="dxa" w:w="648"/>
            <w:vAlign w:val="center"/>
          </w:tcPr>
          <w:p>
            <w:pPr>
              <w:spacing w:after="0"/>
            </w:pPr>
            <w:r>
              <w:rPr>
                <w:sz w:val="17"/>
              </w:rPr>
              <w:t>H1</w:t>
            </w:r>
          </w:p>
        </w:tc>
        <w:tc>
          <w:tcPr>
            <w:tcW w:type="dxa" w:w="5256"/>
            <w:vAlign w:val="center"/>
          </w:tcPr>
          <w:p>
            <w:pPr>
              <w:spacing w:after="0"/>
            </w:pPr>
            <w:r>
              <w:rPr>
                <w:sz w:val="17"/>
              </w:rPr>
              <w:t>Smart will require fewer LLM calls than Baseline while preserving audited correctness.</w:t>
            </w:r>
          </w:p>
        </w:tc>
        <w:tc>
          <w:tcPr>
            <w:tcW w:type="dxa" w:w="3744"/>
            <w:vAlign w:val="center"/>
          </w:tcPr>
          <w:p>
            <w:pPr>
              <w:spacing w:after="0"/>
            </w:pPr>
            <w:r>
              <w:rPr>
                <w:sz w:val="17"/>
              </w:rPr>
              <w:t>Report only measured result.</w:t>
            </w:r>
          </w:p>
        </w:tc>
      </w:tr>
      <w:tr>
        <w:tc>
          <w:tcPr>
            <w:tcW w:type="dxa" w:w="648"/>
            <w:vAlign w:val="center"/>
          </w:tcPr>
          <w:p>
            <w:pPr>
              <w:spacing w:after="0"/>
            </w:pPr>
            <w:r>
              <w:rPr>
                <w:sz w:val="17"/>
              </w:rPr>
              <w:t>H2</w:t>
            </w:r>
          </w:p>
        </w:tc>
        <w:tc>
          <w:tcPr>
            <w:tcW w:type="dxa" w:w="5256"/>
            <w:vAlign w:val="center"/>
          </w:tcPr>
          <w:p>
            <w:pPr>
              <w:spacing w:after="0"/>
            </w:pPr>
            <w:r>
              <w:rPr>
                <w:sz w:val="17"/>
              </w:rPr>
              <w:t>Smart will safely reuse validated browser capabilities across repeated equivalent requests.</w:t>
            </w:r>
          </w:p>
        </w:tc>
        <w:tc>
          <w:tcPr>
            <w:tcW w:type="dxa" w:w="3744"/>
            <w:vAlign w:val="center"/>
          </w:tcPr>
          <w:p>
            <w:pPr>
              <w:spacing w:after="0"/>
            </w:pPr>
            <w:r>
              <w:rPr>
                <w:sz w:val="17"/>
              </w:rPr>
              <w:t>Reuse must pass compatibility and postcondition checks.</w:t>
            </w:r>
          </w:p>
        </w:tc>
      </w:tr>
      <w:tr>
        <w:tc>
          <w:tcPr>
            <w:tcW w:type="dxa" w:w="648"/>
            <w:vAlign w:val="center"/>
          </w:tcPr>
          <w:p>
            <w:pPr>
              <w:spacing w:after="0"/>
            </w:pPr>
            <w:r>
              <w:rPr>
                <w:sz w:val="17"/>
              </w:rPr>
              <w:t>H3</w:t>
            </w:r>
          </w:p>
        </w:tc>
        <w:tc>
          <w:tcPr>
            <w:tcW w:type="dxa" w:w="5256"/>
            <w:vAlign w:val="center"/>
          </w:tcPr>
          <w:p>
            <w:pPr>
              <w:spacing w:after="0"/>
            </w:pPr>
            <w:r>
              <w:rPr>
                <w:sz w:val="17"/>
              </w:rPr>
              <w:t>After UI drift, Smart will selectively invalidate affected capabilities and relearn them.</w:t>
            </w:r>
          </w:p>
        </w:tc>
        <w:tc>
          <w:tcPr>
            <w:tcW w:type="dxa" w:w="3744"/>
            <w:vAlign w:val="center"/>
          </w:tcPr>
          <w:p>
            <w:pPr>
              <w:spacing w:after="0"/>
            </w:pPr>
            <w:r>
              <w:rPr>
                <w:sz w:val="17"/>
              </w:rPr>
              <w:t>Do not count blind retry as relearning.</w:t>
            </w:r>
          </w:p>
        </w:tc>
      </w:tr>
      <w:tr>
        <w:tc>
          <w:tcPr>
            <w:tcW w:type="dxa" w:w="648"/>
            <w:vAlign w:val="center"/>
          </w:tcPr>
          <w:p>
            <w:pPr>
              <w:spacing w:after="0"/>
            </w:pPr>
            <w:r>
              <w:rPr>
                <w:sz w:val="17"/>
              </w:rPr>
              <w:t>H4</w:t>
            </w:r>
          </w:p>
        </w:tc>
        <w:tc>
          <w:tcPr>
            <w:tcW w:type="dxa" w:w="5256"/>
            <w:vAlign w:val="center"/>
          </w:tcPr>
          <w:p>
            <w:pPr>
              <w:spacing w:after="0"/>
            </w:pPr>
            <w:r>
              <w:rPr>
                <w:sz w:val="17"/>
              </w:rPr>
              <w:t>Naive replay will use fewer or comparable LLM calls but may produce stale/incorrect executions after UI drift.</w:t>
            </w:r>
          </w:p>
        </w:tc>
        <w:tc>
          <w:tcPr>
            <w:tcW w:type="dxa" w:w="3744"/>
            <w:vAlign w:val="center"/>
          </w:tcPr>
          <w:p>
            <w:pPr>
              <w:spacing w:after="0"/>
            </w:pPr>
            <w:r>
              <w:rPr>
                <w:sz w:val="17"/>
              </w:rPr>
              <w:t>Do not assume a failure count in advance.</w:t>
            </w:r>
          </w:p>
        </w:tc>
      </w:tr>
      <w:tr>
        <w:tc>
          <w:tcPr>
            <w:tcW w:type="dxa" w:w="648"/>
            <w:vAlign w:val="center"/>
          </w:tcPr>
          <w:p>
            <w:pPr>
              <w:spacing w:after="0"/>
            </w:pPr>
            <w:r>
              <w:rPr>
                <w:sz w:val="17"/>
              </w:rPr>
              <w:t>H5</w:t>
            </w:r>
          </w:p>
        </w:tc>
        <w:tc>
          <w:tcPr>
            <w:tcW w:type="dxa" w:w="5256"/>
            <w:vAlign w:val="center"/>
          </w:tcPr>
          <w:p>
            <w:pPr>
              <w:spacing w:after="0"/>
            </w:pPr>
            <w:r>
              <w:rPr>
                <w:sz w:val="17"/>
              </w:rPr>
              <w:t>Deterministic reuse will reduce measured LLM cost for this controlled workload.</w:t>
            </w:r>
          </w:p>
        </w:tc>
        <w:tc>
          <w:tcPr>
            <w:tcW w:type="dxa" w:w="3744"/>
            <w:vAlign w:val="center"/>
          </w:tcPr>
          <w:p>
            <w:pPr>
              <w:spacing w:after="0"/>
            </w:pPr>
            <w:r>
              <w:rPr>
                <w:sz w:val="17"/>
              </w:rPr>
              <w:t>Do not generalize the percentage to all computer-use workloads.</w:t>
            </w:r>
          </w:p>
        </w:tc>
      </w:tr>
    </w:tbl>
    <w:p>
      <w:pPr>
        <w:spacing w:after="40"/>
      </w:pPr>
    </w:p>
    <w:p>
      <w:pPr>
        <w:pStyle w:val="Heading1"/>
      </w:pPr>
      <w:r>
        <w:t>6. Architectures Under Test</w:t>
      </w:r>
    </w:p>
    <w:p>
      <w:pPr>
        <w:pStyle w:val="Heading2"/>
      </w:pPr>
      <w:r>
        <w:t>6.1 Baseline Computer-Use Agent</w:t>
      </w:r>
    </w:p>
    <w:p>
      <w:r>
        <w:t>The Baseline architecture uses the LLM for every request. It receives the business request plus the current browser state representation, reasons about navigation and actions, produces a structured action plan, executes that plan in the controlled browser, and validates the final business outcome.</w:t>
      </w:r>
    </w:p>
    <w:p>
      <w:pPr>
        <w:spacing w:before="80" w:after="140"/>
        <w:ind w:left="317" w:right="72"/>
        <w:shd w:fill="F3F7FA"/>
        <w:pBdr>
          <w:left w:val="single" w:sz="24" w:color="0EA5E9"/>
          <w:top w:val="single" w:sz="4" w:color="C8DDEA"/>
          <w:bottom w:val="single" w:sz="4" w:color="C8DDEA"/>
        </w:pBdr>
      </w:pPr>
      <w:r>
        <w:rPr>
          <w:rFonts w:ascii="Consolas" w:hAnsi="Consolas"/>
          <w:sz w:val="16"/>
        </w:rPr>
        <w:t>request</w:t>
        <w:br/>
        <w:t xml:space="preserve">  -&gt; current browser state</w:t>
        <w:br/>
        <w:t xml:space="preserve">  -&gt; LLM reasoning / plan</w:t>
        <w:br/>
        <w:t xml:space="preserve">  -&gt; deterministic plan validation</w:t>
        <w:br/>
        <w:t xml:space="preserve">  -&gt; browser execution</w:t>
        <w:br/>
        <w:t xml:space="preserve">  -&gt; final-state audit</w:t>
        <w:br/>
        <w:t xml:space="preserve">  -&gt; result</w:t>
      </w:r>
    </w:p>
    <w:p>
      <w:r>
        <w:t>Baseline does not reuse previously learned browser procedures. It establishes the full-reasoning reference for correctness, LLM calls, cost, and latency.</w:t>
      </w:r>
    </w:p>
    <w:p>
      <w:pPr>
        <w:pStyle w:val="Heading2"/>
      </w:pPr>
      <w:r>
        <w:t>6.2 Smart Computer-Use Agent</w:t>
      </w:r>
    </w:p>
    <w:p>
      <w:r>
        <w:t>The Smart architecture maintains a registry of validated executable UI capabilities. A capability represents a learned browser procedure together with the conditions that make deterministic reuse safe.</w:t>
      </w:r>
    </w:p>
    <w:p>
      <w:pPr>
        <w:spacing w:before="80" w:after="140"/>
        <w:ind w:left="317" w:right="72"/>
        <w:shd w:fill="F3F7FA"/>
        <w:pBdr>
          <w:left w:val="single" w:sz="24" w:color="0EA5E9"/>
          <w:top w:val="single" w:sz="4" w:color="C8DDEA"/>
          <w:bottom w:val="single" w:sz="4" w:color="C8DDEA"/>
        </w:pBdr>
      </w:pPr>
      <w:r>
        <w:rPr>
          <w:rFonts w:ascii="Consolas" w:hAnsi="Consolas"/>
          <w:sz w:val="16"/>
        </w:rPr>
        <w:t>request</w:t>
        <w:br/>
        <w:t xml:space="preserve">  -&gt; capability resolution</w:t>
        <w:br/>
        <w:t xml:space="preserve">  -&gt; compatibility checks</w:t>
        <w:br/>
        <w:t xml:space="preserve">       PASS -&gt; bind request values -&gt; deterministic browser execution -&gt; postcondition audit</w:t>
        <w:br/>
        <w:t xml:space="preserve">       FAIL -&gt; invalidate affected capability -&gt; LLM reasoning -&gt; validate -&gt; execute -&gt; promote replacement</w:t>
      </w:r>
    </w:p>
    <w:p>
      <w:r>
        <w:t>The Smart architecture may invoke the LLM for initial acquisition, genuinely novel or ambiguous work, and relearning after a capability becomes incompatible. Equivalent known work should bypass the LLM.</w:t>
      </w:r>
    </w:p>
    <w:p>
      <w:pPr>
        <w:pStyle w:val="Heading2"/>
      </w:pPr>
      <w:r>
        <w:t>6.3 Naive Replay Agent</w:t>
      </w:r>
    </w:p>
    <w:p>
      <w:r>
        <w:t>The Naive architecture also stores learned browser procedures, but deliberately omits the contract-aware validation required for safe reuse. It replays a stored procedure whenever the operation family appears to match.</w:t>
      </w:r>
    </w:p>
    <w:p>
      <w:pPr>
        <w:spacing w:before="80" w:after="140"/>
        <w:ind w:left="317" w:right="72"/>
        <w:shd w:fill="F3F7FA"/>
        <w:pBdr>
          <w:left w:val="single" w:sz="24" w:color="0EA5E9"/>
          <w:top w:val="single" w:sz="4" w:color="C8DDEA"/>
          <w:bottom w:val="single" w:sz="4" w:color="C8DDEA"/>
        </w:pBdr>
      </w:pPr>
      <w:r>
        <w:rPr>
          <w:rFonts w:ascii="Consolas" w:hAnsi="Consolas"/>
          <w:sz w:val="16"/>
        </w:rPr>
        <w:t>request</w:t>
        <w:br/>
        <w:t xml:space="preserve">  -&gt; find old procedure by operation family</w:t>
        <w:br/>
        <w:t xml:space="preserve">  -&gt; replay stored selectors/actions</w:t>
        <w:br/>
        <w:t xml:space="preserve">  -&gt; minimal execution handling</w:t>
        <w:br/>
        <w:t xml:space="preserve">  -&gt; result</w:t>
      </w:r>
    </w:p>
    <w:p>
      <w:r>
        <w:t>Naive is not intended as a recommended architecture. It is the control that tests whether lower model usage alone is a meaningful optimization target.</w:t>
      </w:r>
    </w:p>
    <w:p>
      <w:pPr>
        <w:pStyle w:val="Heading1"/>
      </w:pPr>
      <w:r>
        <w:t>7. Executable UI Capability</w:t>
      </w:r>
    </w:p>
    <w:p>
      <w:r>
        <w:t>The central reusable artifact is an Executable UI Capability. It is more than a recorded click sequence. It contains enough information to decide whether the learned procedure still applies and enough validation to prove that execution achieved the intended business result.</w:t>
      </w:r>
    </w:p>
    <w:tbl>
      <w:tblPr>
        <w:tblStyle w:val="TableGrid"/>
        <w:tblW w:type="auto" w:w="0"/>
        <w:jc w:val="center"/>
        <w:tblLook w:firstColumn="1" w:firstRow="1" w:lastColumn="0" w:lastRow="0" w:noHBand="0" w:noVBand="1" w:val="04A0"/>
      </w:tblPr>
      <w:tblGrid>
        <w:gridCol w:w="4997"/>
        <w:gridCol w:w="4997"/>
      </w:tblGrid>
      <w:tr>
        <w:tc>
          <w:tcPr>
            <w:tcW w:type="dxa" w:w="2376"/>
            <w:vAlign w:val="center"/>
            <w:shd w:fill="0B2F57"/>
          </w:tcPr>
          <w:p>
            <w:r>
              <w:rPr>
                <w:b/>
                <w:color w:val="FFFFFF"/>
                <w:sz w:val="17"/>
              </w:rPr>
              <w:t>Field</w:t>
            </w:r>
          </w:p>
        </w:tc>
        <w:tc>
          <w:tcPr>
            <w:tcW w:type="dxa" w:w="7416"/>
            <w:vAlign w:val="center"/>
            <w:shd w:fill="0B2F57"/>
          </w:tcPr>
          <w:p>
            <w:r>
              <w:rPr>
                <w:b/>
                <w:color w:val="FFFFFF"/>
                <w:sz w:val="17"/>
              </w:rPr>
              <w:t>Purpose</w:t>
            </w:r>
          </w:p>
        </w:tc>
      </w:tr>
      <w:tr>
        <w:tc>
          <w:tcPr>
            <w:tcW w:type="dxa" w:w="2376"/>
            <w:vAlign w:val="center"/>
          </w:tcPr>
          <w:p>
            <w:pPr>
              <w:spacing w:after="0"/>
            </w:pPr>
            <w:r>
              <w:rPr>
                <w:sz w:val="17"/>
              </w:rPr>
              <w:t>capability_id</w:t>
            </w:r>
          </w:p>
        </w:tc>
        <w:tc>
          <w:tcPr>
            <w:tcW w:type="dxa" w:w="7416"/>
            <w:vAlign w:val="center"/>
          </w:tcPr>
          <w:p>
            <w:pPr>
              <w:spacing w:after="0"/>
            </w:pPr>
            <w:r>
              <w:rPr>
                <w:sz w:val="17"/>
              </w:rPr>
              <w:t>Stable identifier for the learned browser capability.</w:t>
            </w:r>
          </w:p>
        </w:tc>
      </w:tr>
      <w:tr>
        <w:tc>
          <w:tcPr>
            <w:tcW w:type="dxa" w:w="2376"/>
            <w:vAlign w:val="center"/>
          </w:tcPr>
          <w:p>
            <w:pPr>
              <w:spacing w:after="0"/>
            </w:pPr>
            <w:r>
              <w:rPr>
                <w:sz w:val="17"/>
              </w:rPr>
              <w:t>operation_family</w:t>
            </w:r>
          </w:p>
        </w:tc>
        <w:tc>
          <w:tcPr>
            <w:tcW w:type="dxa" w:w="7416"/>
            <w:vAlign w:val="center"/>
          </w:tcPr>
          <w:p>
            <w:pPr>
              <w:spacing w:after="0"/>
            </w:pPr>
            <w:r>
              <w:rPr>
                <w:sz w:val="17"/>
              </w:rPr>
              <w:t>Semantic operation such as billing.apply_credit.</w:t>
            </w:r>
          </w:p>
        </w:tc>
      </w:tr>
      <w:tr>
        <w:tc>
          <w:tcPr>
            <w:tcW w:type="dxa" w:w="2376"/>
            <w:vAlign w:val="center"/>
          </w:tcPr>
          <w:p>
            <w:pPr>
              <w:spacing w:after="0"/>
            </w:pPr>
            <w:r>
              <w:rPr>
                <w:sz w:val="17"/>
              </w:rPr>
              <w:t>ui_contract_version</w:t>
            </w:r>
          </w:p>
        </w:tc>
        <w:tc>
          <w:tcPr>
            <w:tcW w:type="dxa" w:w="7416"/>
            <w:vAlign w:val="center"/>
          </w:tcPr>
          <w:p>
            <w:pPr>
              <w:spacing w:after="0"/>
            </w:pPr>
            <w:r>
              <w:rPr>
                <w:sz w:val="17"/>
              </w:rPr>
              <w:t>Portal/UI contract version against which the capability was validated.</w:t>
            </w:r>
          </w:p>
        </w:tc>
      </w:tr>
      <w:tr>
        <w:tc>
          <w:tcPr>
            <w:tcW w:type="dxa" w:w="2376"/>
            <w:vAlign w:val="center"/>
          </w:tcPr>
          <w:p>
            <w:pPr>
              <w:spacing w:after="0"/>
            </w:pPr>
            <w:r>
              <w:rPr>
                <w:sz w:val="17"/>
              </w:rPr>
              <w:t>start_state</w:t>
            </w:r>
          </w:p>
        </w:tc>
        <w:tc>
          <w:tcPr>
            <w:tcW w:type="dxa" w:w="7416"/>
            <w:vAlign w:val="center"/>
          </w:tcPr>
          <w:p>
            <w:pPr>
              <w:spacing w:after="0"/>
            </w:pPr>
            <w:r>
              <w:rPr>
                <w:sz w:val="17"/>
              </w:rPr>
              <w:t>Required page, route, authentication, and business preconditions.</w:t>
            </w:r>
          </w:p>
        </w:tc>
      </w:tr>
      <w:tr>
        <w:tc>
          <w:tcPr>
            <w:tcW w:type="dxa" w:w="2376"/>
            <w:vAlign w:val="center"/>
          </w:tcPr>
          <w:p>
            <w:pPr>
              <w:spacing w:after="0"/>
            </w:pPr>
            <w:r>
              <w:rPr>
                <w:sz w:val="17"/>
              </w:rPr>
              <w:t>navigation_plan</w:t>
            </w:r>
          </w:p>
        </w:tc>
        <w:tc>
          <w:tcPr>
            <w:tcW w:type="dxa" w:w="7416"/>
            <w:vAlign w:val="center"/>
          </w:tcPr>
          <w:p>
            <w:pPr>
              <w:spacing w:after="0"/>
            </w:pPr>
            <w:r>
              <w:rPr>
                <w:sz w:val="17"/>
              </w:rPr>
              <w:t>Deterministic navigation steps.</w:t>
            </w:r>
          </w:p>
        </w:tc>
      </w:tr>
      <w:tr>
        <w:tc>
          <w:tcPr>
            <w:tcW w:type="dxa" w:w="2376"/>
            <w:vAlign w:val="center"/>
          </w:tcPr>
          <w:p>
            <w:pPr>
              <w:spacing w:after="0"/>
            </w:pPr>
            <w:r>
              <w:rPr>
                <w:sz w:val="17"/>
              </w:rPr>
              <w:t>selectors</w:t>
            </w:r>
          </w:p>
        </w:tc>
        <w:tc>
          <w:tcPr>
            <w:tcW w:type="dxa" w:w="7416"/>
            <w:vAlign w:val="center"/>
          </w:tcPr>
          <w:p>
            <w:pPr>
              <w:spacing w:after="0"/>
            </w:pPr>
            <w:r>
              <w:rPr>
                <w:sz w:val="17"/>
              </w:rPr>
              <w:t>Preferred stable element locators and allowed fallbacks.</w:t>
            </w:r>
          </w:p>
        </w:tc>
      </w:tr>
      <w:tr>
        <w:tc>
          <w:tcPr>
            <w:tcW w:type="dxa" w:w="2376"/>
            <w:vAlign w:val="center"/>
          </w:tcPr>
          <w:p>
            <w:pPr>
              <w:spacing w:after="0"/>
            </w:pPr>
            <w:r>
              <w:rPr>
                <w:sz w:val="17"/>
              </w:rPr>
              <w:t>input_bindings</w:t>
            </w:r>
          </w:p>
        </w:tc>
        <w:tc>
          <w:tcPr>
            <w:tcW w:type="dxa" w:w="7416"/>
            <w:vAlign w:val="center"/>
          </w:tcPr>
          <w:p>
            <w:pPr>
              <w:spacing w:after="0"/>
            </w:pPr>
            <w:r>
              <w:rPr>
                <w:sz w:val="17"/>
              </w:rPr>
              <w:t>Mapping from business request fields to UI fields.</w:t>
            </w:r>
          </w:p>
        </w:tc>
      </w:tr>
      <w:tr>
        <w:tc>
          <w:tcPr>
            <w:tcW w:type="dxa" w:w="2376"/>
            <w:vAlign w:val="center"/>
          </w:tcPr>
          <w:p>
            <w:pPr>
              <w:spacing w:after="0"/>
            </w:pPr>
            <w:r>
              <w:rPr>
                <w:sz w:val="17"/>
              </w:rPr>
              <w:t>action_sequence</w:t>
            </w:r>
          </w:p>
        </w:tc>
        <w:tc>
          <w:tcPr>
            <w:tcW w:type="dxa" w:w="7416"/>
            <w:vAlign w:val="center"/>
          </w:tcPr>
          <w:p>
            <w:pPr>
              <w:spacing w:after="0"/>
            </w:pPr>
            <w:r>
              <w:rPr>
                <w:sz w:val="17"/>
              </w:rPr>
              <w:t>Clicks, fills, selections, waits, submissions, and confirmations.</w:t>
            </w:r>
          </w:p>
        </w:tc>
      </w:tr>
      <w:tr>
        <w:tc>
          <w:tcPr>
            <w:tcW w:type="dxa" w:w="2376"/>
            <w:vAlign w:val="center"/>
          </w:tcPr>
          <w:p>
            <w:pPr>
              <w:spacing w:after="0"/>
            </w:pPr>
            <w:r>
              <w:rPr>
                <w:sz w:val="17"/>
              </w:rPr>
              <w:t>preconditions</w:t>
            </w:r>
          </w:p>
        </w:tc>
        <w:tc>
          <w:tcPr>
            <w:tcW w:type="dxa" w:w="7416"/>
            <w:vAlign w:val="center"/>
          </w:tcPr>
          <w:p>
            <w:pPr>
              <w:spacing w:after="0"/>
            </w:pPr>
            <w:r>
              <w:rPr>
                <w:sz w:val="17"/>
              </w:rPr>
              <w:t>Assertions that must hold before execution.</w:t>
            </w:r>
          </w:p>
        </w:tc>
      </w:tr>
      <w:tr>
        <w:tc>
          <w:tcPr>
            <w:tcW w:type="dxa" w:w="2376"/>
            <w:vAlign w:val="center"/>
          </w:tcPr>
          <w:p>
            <w:pPr>
              <w:spacing w:after="0"/>
            </w:pPr>
            <w:r>
              <w:rPr>
                <w:sz w:val="17"/>
              </w:rPr>
              <w:t>postconditions</w:t>
            </w:r>
          </w:p>
        </w:tc>
        <w:tc>
          <w:tcPr>
            <w:tcW w:type="dxa" w:w="7416"/>
            <w:vAlign w:val="center"/>
          </w:tcPr>
          <w:p>
            <w:pPr>
              <w:spacing w:after="0"/>
            </w:pPr>
            <w:r>
              <w:rPr>
                <w:sz w:val="17"/>
              </w:rPr>
              <w:t>Business-state assertions required for success.</w:t>
            </w:r>
          </w:p>
        </w:tc>
      </w:tr>
      <w:tr>
        <w:tc>
          <w:tcPr>
            <w:tcW w:type="dxa" w:w="2376"/>
            <w:vAlign w:val="center"/>
          </w:tcPr>
          <w:p>
            <w:pPr>
              <w:spacing w:after="0"/>
            </w:pPr>
            <w:r>
              <w:rPr>
                <w:sz w:val="17"/>
              </w:rPr>
              <w:t>page_fingerprint</w:t>
            </w:r>
          </w:p>
        </w:tc>
        <w:tc>
          <w:tcPr>
            <w:tcW w:type="dxa" w:w="7416"/>
            <w:vAlign w:val="center"/>
          </w:tcPr>
          <w:p>
            <w:pPr>
              <w:spacing w:after="0"/>
            </w:pPr>
            <w:r>
              <w:rPr>
                <w:sz w:val="17"/>
              </w:rPr>
              <w:t>Stable structural fingerprint used for compatibility checks.</w:t>
            </w:r>
          </w:p>
        </w:tc>
      </w:tr>
      <w:tr>
        <w:tc>
          <w:tcPr>
            <w:tcW w:type="dxa" w:w="2376"/>
            <w:vAlign w:val="center"/>
          </w:tcPr>
          <w:p>
            <w:pPr>
              <w:spacing w:after="0"/>
            </w:pPr>
            <w:r>
              <w:rPr>
                <w:sz w:val="17"/>
              </w:rPr>
              <w:t>validation_state</w:t>
            </w:r>
          </w:p>
        </w:tc>
        <w:tc>
          <w:tcPr>
            <w:tcW w:type="dxa" w:w="7416"/>
            <w:vAlign w:val="center"/>
          </w:tcPr>
          <w:p>
            <w:pPr>
              <w:spacing w:after="0"/>
            </w:pPr>
            <w:r>
              <w:rPr>
                <w:sz w:val="17"/>
              </w:rPr>
              <w:t>Candidate, Validated, Invalidated, or Superseded.</w:t>
            </w:r>
          </w:p>
        </w:tc>
      </w:tr>
      <w:tr>
        <w:tc>
          <w:tcPr>
            <w:tcW w:type="dxa" w:w="2376"/>
            <w:vAlign w:val="center"/>
          </w:tcPr>
          <w:p>
            <w:pPr>
              <w:spacing w:after="0"/>
            </w:pPr>
            <w:r>
              <w:rPr>
                <w:sz w:val="17"/>
              </w:rPr>
              <w:t>failure_signature</w:t>
            </w:r>
          </w:p>
        </w:tc>
        <w:tc>
          <w:tcPr>
            <w:tcW w:type="dxa" w:w="7416"/>
            <w:vAlign w:val="center"/>
          </w:tcPr>
          <w:p>
            <w:pPr>
              <w:spacing w:after="0"/>
            </w:pPr>
            <w:r>
              <w:rPr>
                <w:sz w:val="17"/>
              </w:rPr>
              <w:t>Evidence used to distinguish transient failure from stale capability.</w:t>
            </w:r>
          </w:p>
        </w:tc>
      </w:tr>
      <w:tr>
        <w:tc>
          <w:tcPr>
            <w:tcW w:type="dxa" w:w="2376"/>
            <w:vAlign w:val="center"/>
          </w:tcPr>
          <w:p>
            <w:pPr>
              <w:spacing w:after="0"/>
            </w:pPr>
            <w:r>
              <w:rPr>
                <w:sz w:val="17"/>
              </w:rPr>
              <w:t>provenance</w:t>
            </w:r>
          </w:p>
        </w:tc>
        <w:tc>
          <w:tcPr>
            <w:tcW w:type="dxa" w:w="7416"/>
            <w:vAlign w:val="center"/>
          </w:tcPr>
          <w:p>
            <w:pPr>
              <w:spacing w:after="0"/>
            </w:pPr>
            <w:r>
              <w:rPr>
                <w:sz w:val="17"/>
              </w:rPr>
              <w:t>Acquisition/relearning event and evidence that created the capability.</w:t>
            </w:r>
          </w:p>
        </w:tc>
      </w:tr>
    </w:tbl>
    <w:p>
      <w:pPr>
        <w:spacing w:after="40"/>
      </w:pPr>
    </w:p>
    <w:p>
      <w:pPr>
        <w:pStyle w:val="Heading1"/>
      </w:pPr>
      <w:r>
        <w:t>8. Browser Automation Technology</w:t>
      </w:r>
    </w:p>
    <w:p>
      <w:r>
        <w:t>The reference implementation should use Python with Playwright for deterministic browser execution. The LLM is not asked to emit raw mouse coordinates as the reusable artifact. It produces a structured candidate plan that is validated and compiled into executable browser actions.</w:t>
      </w:r>
    </w:p>
    <w:p>
      <w:r>
        <w:t>The controlled portal should expose normal browser semantics - routes, forms, buttons, tables, dialogs, confirmation states, and asynchronous updates - while remaining deterministic enough for independent replay.</w:t>
      </w:r>
    </w:p>
    <w:p>
      <w:r>
        <w:t>Screenshots may be retained as evidence, but the benchmark's authoritative correctness must come from deterministic application state and business postconditions rather than screenshot similarity alone.</w:t>
      </w:r>
    </w:p>
    <w:p>
      <w:pPr>
        <w:pStyle w:val="Heading1"/>
      </w:pPr>
      <w:r>
        <w:t>9. HarborPoint Portal Task Families</w:t>
      </w:r>
    </w:p>
    <w:p>
      <w:r>
        <w:t>The benchmark will use six recurring operation families. Each family must have parameterized requests so that reuse means reusing a procedure, not memorizing a single answer.</w:t>
      </w:r>
    </w:p>
    <w:tbl>
      <w:tblPr>
        <w:tblStyle w:val="TableGrid"/>
        <w:tblW w:type="auto" w:w="0"/>
        <w:jc w:val="center"/>
        <w:tblLook w:firstColumn="1" w:firstRow="1" w:lastColumn="0" w:lastRow="0" w:noHBand="0" w:noVBand="1" w:val="04A0"/>
      </w:tblPr>
      <w:tblGrid>
        <w:gridCol w:w="3331"/>
        <w:gridCol w:w="3331"/>
        <w:gridCol w:w="3331"/>
      </w:tblGrid>
      <w:tr>
        <w:tc>
          <w:tcPr>
            <w:tcW w:type="dxa" w:w="2448"/>
            <w:vAlign w:val="center"/>
            <w:shd w:fill="0B2F57"/>
          </w:tcPr>
          <w:p>
            <w:r>
              <w:rPr>
                <w:b/>
                <w:color w:val="FFFFFF"/>
                <w:sz w:val="17"/>
              </w:rPr>
              <w:t>Family</w:t>
            </w:r>
          </w:p>
        </w:tc>
        <w:tc>
          <w:tcPr>
            <w:tcW w:type="dxa" w:w="3888"/>
            <w:vAlign w:val="center"/>
            <w:shd w:fill="0B2F57"/>
          </w:tcPr>
          <w:p>
            <w:r>
              <w:rPr>
                <w:b/>
                <w:color w:val="FFFFFF"/>
                <w:sz w:val="17"/>
              </w:rPr>
              <w:t>Representative Task</w:t>
            </w:r>
          </w:p>
        </w:tc>
        <w:tc>
          <w:tcPr>
            <w:tcW w:type="dxa" w:w="3456"/>
            <w:vAlign w:val="center"/>
            <w:shd w:fill="0B2F57"/>
          </w:tcPr>
          <w:p>
            <w:r>
              <w:rPr>
                <w:b/>
                <w:color w:val="FFFFFF"/>
                <w:sz w:val="17"/>
              </w:rPr>
              <w:t>Auditable Success Condition</w:t>
            </w:r>
          </w:p>
        </w:tc>
      </w:tr>
      <w:tr>
        <w:tc>
          <w:tcPr>
            <w:tcW w:type="dxa" w:w="2448"/>
            <w:vAlign w:val="center"/>
          </w:tcPr>
          <w:p>
            <w:pPr>
              <w:spacing w:after="0"/>
            </w:pPr>
            <w:r>
              <w:rPr>
                <w:sz w:val="17"/>
              </w:rPr>
              <w:t>orders.lookup_status</w:t>
            </w:r>
          </w:p>
        </w:tc>
        <w:tc>
          <w:tcPr>
            <w:tcW w:type="dxa" w:w="3888"/>
            <w:vAlign w:val="center"/>
          </w:tcPr>
          <w:p>
            <w:pPr>
              <w:spacing w:after="0"/>
            </w:pPr>
            <w:r>
              <w:rPr>
                <w:sz w:val="17"/>
              </w:rPr>
              <w:t>Find an order and report its current fulfillment state.</w:t>
            </w:r>
          </w:p>
        </w:tc>
        <w:tc>
          <w:tcPr>
            <w:tcW w:type="dxa" w:w="3456"/>
            <w:vAlign w:val="center"/>
          </w:tcPr>
          <w:p>
            <w:pPr>
              <w:spacing w:after="0"/>
            </w:pPr>
            <w:r>
              <w:rPr>
                <w:sz w:val="17"/>
              </w:rPr>
              <w:t>Returned state equals authoritative order record.</w:t>
            </w:r>
          </w:p>
        </w:tc>
      </w:tr>
      <w:tr>
        <w:tc>
          <w:tcPr>
            <w:tcW w:type="dxa" w:w="2448"/>
            <w:vAlign w:val="center"/>
          </w:tcPr>
          <w:p>
            <w:pPr>
              <w:spacing w:after="0"/>
            </w:pPr>
            <w:r>
              <w:rPr>
                <w:sz w:val="17"/>
              </w:rPr>
              <w:t>shipping.update_instructions</w:t>
            </w:r>
          </w:p>
        </w:tc>
        <w:tc>
          <w:tcPr>
            <w:tcW w:type="dxa" w:w="3888"/>
            <w:vAlign w:val="center"/>
          </w:tcPr>
          <w:p>
            <w:pPr>
              <w:spacing w:after="0"/>
            </w:pPr>
            <w:r>
              <w:rPr>
                <w:sz w:val="17"/>
              </w:rPr>
              <w:t>Update delivery window or shipment instruction.</w:t>
            </w:r>
          </w:p>
        </w:tc>
        <w:tc>
          <w:tcPr>
            <w:tcW w:type="dxa" w:w="3456"/>
            <w:vAlign w:val="center"/>
          </w:tcPr>
          <w:p>
            <w:pPr>
              <w:spacing w:after="0"/>
            </w:pPr>
            <w:r>
              <w:rPr>
                <w:sz w:val="17"/>
              </w:rPr>
              <w:t>Persisted shipment instruction equals requested value.</w:t>
            </w:r>
          </w:p>
        </w:tc>
      </w:tr>
      <w:tr>
        <w:tc>
          <w:tcPr>
            <w:tcW w:type="dxa" w:w="2448"/>
            <w:vAlign w:val="center"/>
          </w:tcPr>
          <w:p>
            <w:pPr>
              <w:spacing w:after="0"/>
            </w:pPr>
            <w:r>
              <w:rPr>
                <w:sz w:val="17"/>
              </w:rPr>
              <w:t>billing.apply_credit</w:t>
            </w:r>
          </w:p>
        </w:tc>
        <w:tc>
          <w:tcPr>
            <w:tcW w:type="dxa" w:w="3888"/>
            <w:vAlign w:val="center"/>
          </w:tcPr>
          <w:p>
            <w:pPr>
              <w:spacing w:after="0"/>
            </w:pPr>
            <w:r>
              <w:rPr>
                <w:sz w:val="17"/>
              </w:rPr>
              <w:t>Apply an allowed customer credit.</w:t>
            </w:r>
          </w:p>
        </w:tc>
        <w:tc>
          <w:tcPr>
            <w:tcW w:type="dxa" w:w="3456"/>
            <w:vAlign w:val="center"/>
          </w:tcPr>
          <w:p>
            <w:pPr>
              <w:spacing w:after="0"/>
            </w:pPr>
            <w:r>
              <w:rPr>
                <w:sz w:val="17"/>
              </w:rPr>
              <w:t>Ledger contains correct credit amount and reference.</w:t>
            </w:r>
          </w:p>
        </w:tc>
      </w:tr>
      <w:tr>
        <w:tc>
          <w:tcPr>
            <w:tcW w:type="dxa" w:w="2448"/>
            <w:vAlign w:val="center"/>
          </w:tcPr>
          <w:p>
            <w:pPr>
              <w:spacing w:after="0"/>
            </w:pPr>
            <w:r>
              <w:rPr>
                <w:sz w:val="17"/>
              </w:rPr>
              <w:t>returns.create_authorization</w:t>
            </w:r>
          </w:p>
        </w:tc>
        <w:tc>
          <w:tcPr>
            <w:tcW w:type="dxa" w:w="3888"/>
            <w:vAlign w:val="center"/>
          </w:tcPr>
          <w:p>
            <w:pPr>
              <w:spacing w:after="0"/>
            </w:pPr>
            <w:r>
              <w:rPr>
                <w:sz w:val="17"/>
              </w:rPr>
              <w:t>Create a return authorization for eligible items.</w:t>
            </w:r>
          </w:p>
        </w:tc>
        <w:tc>
          <w:tcPr>
            <w:tcW w:type="dxa" w:w="3456"/>
            <w:vAlign w:val="center"/>
          </w:tcPr>
          <w:p>
            <w:pPr>
              <w:spacing w:after="0"/>
            </w:pPr>
            <w:r>
              <w:rPr>
                <w:sz w:val="17"/>
              </w:rPr>
              <w:t>Valid RMA exists with correct order/items/reason.</w:t>
            </w:r>
          </w:p>
        </w:tc>
      </w:tr>
      <w:tr>
        <w:tc>
          <w:tcPr>
            <w:tcW w:type="dxa" w:w="2448"/>
            <w:vAlign w:val="center"/>
          </w:tcPr>
          <w:p>
            <w:pPr>
              <w:spacing w:after="0"/>
            </w:pPr>
            <w:r>
              <w:rPr>
                <w:sz w:val="17"/>
              </w:rPr>
              <w:t>customers.update_contact</w:t>
            </w:r>
          </w:p>
        </w:tc>
        <w:tc>
          <w:tcPr>
            <w:tcW w:type="dxa" w:w="3888"/>
            <w:vAlign w:val="center"/>
          </w:tcPr>
          <w:p>
            <w:pPr>
              <w:spacing w:after="0"/>
            </w:pPr>
            <w:r>
              <w:rPr>
                <w:sz w:val="17"/>
              </w:rPr>
              <w:t>Update a customer's operational contact details.</w:t>
            </w:r>
          </w:p>
        </w:tc>
        <w:tc>
          <w:tcPr>
            <w:tcW w:type="dxa" w:w="3456"/>
            <w:vAlign w:val="center"/>
          </w:tcPr>
          <w:p>
            <w:pPr>
              <w:spacing w:after="0"/>
            </w:pPr>
            <w:r>
              <w:rPr>
                <w:sz w:val="17"/>
              </w:rPr>
              <w:t>Persisted contact fields equal requested values.</w:t>
            </w:r>
          </w:p>
        </w:tc>
      </w:tr>
      <w:tr>
        <w:tc>
          <w:tcPr>
            <w:tcW w:type="dxa" w:w="2448"/>
            <w:vAlign w:val="center"/>
          </w:tcPr>
          <w:p>
            <w:pPr>
              <w:spacing w:after="0"/>
            </w:pPr>
            <w:r>
              <w:rPr>
                <w:sz w:val="17"/>
              </w:rPr>
              <w:t>inventory.reserve_stock</w:t>
            </w:r>
          </w:p>
        </w:tc>
        <w:tc>
          <w:tcPr>
            <w:tcW w:type="dxa" w:w="3888"/>
            <w:vAlign w:val="center"/>
          </w:tcPr>
          <w:p>
            <w:pPr>
              <w:spacing w:after="0"/>
            </w:pPr>
            <w:r>
              <w:rPr>
                <w:sz w:val="17"/>
              </w:rPr>
              <w:t>Reserve stock at an eligible location.</w:t>
            </w:r>
          </w:p>
        </w:tc>
        <w:tc>
          <w:tcPr>
            <w:tcW w:type="dxa" w:w="3456"/>
            <w:vAlign w:val="center"/>
          </w:tcPr>
          <w:p>
            <w:pPr>
              <w:spacing w:after="0"/>
            </w:pPr>
            <w:r>
              <w:rPr>
                <w:sz w:val="17"/>
              </w:rPr>
              <w:t>Reservation exists for correct SKU, quantity, and location.</w:t>
            </w:r>
          </w:p>
        </w:tc>
      </w:tr>
    </w:tbl>
    <w:p>
      <w:pPr>
        <w:spacing w:after="40"/>
      </w:pPr>
    </w:p>
    <w:p>
      <w:pPr>
        <w:pStyle w:val="Heading1"/>
      </w:pPr>
      <w:r>
        <w:t>10. UI Contract Versions</w:t>
      </w:r>
    </w:p>
    <w:p>
      <w:r>
        <w:t>The experiment uses two controlled portal versions. V1 establishes learnable stable procedures. V2 introduces targeted interface and workflow changes. The business intent remains comparable, but selected stored procedures become unsafe or incomplete.</w:t>
      </w:r>
    </w:p>
    <w:p>
      <w:pPr>
        <w:pStyle w:val="Heading2"/>
      </w:pPr>
      <w:r>
        <w:t>10.1 Contract V1</w:t>
      </w:r>
    </w:p>
    <w:p>
      <w:pPr>
        <w:pStyle w:val="ListBullet"/>
      </w:pPr>
      <w:r>
        <w:t>Stable routes and semantic element identifiers.</w:t>
      </w:r>
    </w:p>
    <w:p>
      <w:pPr>
        <w:pStyle w:val="ListBullet"/>
      </w:pPr>
      <w:r>
        <w:t>Single-step credit submission.</w:t>
      </w:r>
    </w:p>
    <w:p>
      <w:pPr>
        <w:pStyle w:val="ListBullet"/>
      </w:pPr>
      <w:r>
        <w:t>Return authorization uses a standard item/reason form.</w:t>
      </w:r>
    </w:p>
    <w:p>
      <w:pPr>
        <w:pStyle w:val="ListBullet"/>
      </w:pPr>
      <w:r>
        <w:t>Inventory reservation uses warehouse_id.</w:t>
      </w:r>
    </w:p>
    <w:p>
      <w:pPr>
        <w:pStyle w:val="ListBullet"/>
      </w:pPr>
      <w:r>
        <w:t>Shipment instructions use a single delivery-instructions form.</w:t>
      </w:r>
    </w:p>
    <w:p>
      <w:pPr>
        <w:pStyle w:val="ListBullet"/>
      </w:pPr>
      <w:r>
        <w:t>Customer contact update remains unchanged across the experiment.</w:t>
      </w:r>
    </w:p>
    <w:p>
      <w:pPr>
        <w:pStyle w:val="Heading2"/>
      </w:pPr>
      <w:r>
        <w:t>10.2 Contract V2 Drift</w:t>
      </w:r>
    </w:p>
    <w:tbl>
      <w:tblPr>
        <w:tblStyle w:val="TableGrid"/>
        <w:tblW w:type="auto" w:w="0"/>
        <w:jc w:val="center"/>
        <w:tblLook w:firstColumn="1" w:firstRow="1" w:lastColumn="0" w:lastRow="0" w:noHBand="0" w:noVBand="1" w:val="04A0"/>
      </w:tblPr>
      <w:tblGrid>
        <w:gridCol w:w="3331"/>
        <w:gridCol w:w="3331"/>
        <w:gridCol w:w="3331"/>
      </w:tblGrid>
      <w:tr>
        <w:tc>
          <w:tcPr>
            <w:tcW w:type="dxa" w:w="2520"/>
            <w:vAlign w:val="center"/>
            <w:shd w:fill="0B2F57"/>
          </w:tcPr>
          <w:p>
            <w:r>
              <w:rPr>
                <w:b/>
                <w:color w:val="FFFFFF"/>
                <w:sz w:val="17"/>
              </w:rPr>
              <w:t>Operation Family</w:t>
            </w:r>
          </w:p>
        </w:tc>
        <w:tc>
          <w:tcPr>
            <w:tcW w:type="dxa" w:w="4824"/>
            <w:vAlign w:val="center"/>
            <w:shd w:fill="0B2F57"/>
          </w:tcPr>
          <w:p>
            <w:r>
              <w:rPr>
                <w:b/>
                <w:color w:val="FFFFFF"/>
                <w:sz w:val="17"/>
              </w:rPr>
              <w:t>V2 Change</w:t>
            </w:r>
          </w:p>
        </w:tc>
        <w:tc>
          <w:tcPr>
            <w:tcW w:type="dxa" w:w="2664"/>
            <w:vAlign w:val="center"/>
            <w:shd w:fill="0B2F57"/>
          </w:tcPr>
          <w:p>
            <w:r>
              <w:rPr>
                <w:b/>
                <w:color w:val="FFFFFF"/>
                <w:sz w:val="17"/>
              </w:rPr>
              <w:t>Expected Smart Consequence</w:t>
            </w:r>
          </w:p>
        </w:tc>
      </w:tr>
      <w:tr>
        <w:tc>
          <w:tcPr>
            <w:tcW w:type="dxa" w:w="2520"/>
            <w:vAlign w:val="center"/>
          </w:tcPr>
          <w:p>
            <w:pPr>
              <w:spacing w:after="0"/>
            </w:pPr>
            <w:r>
              <w:rPr>
                <w:sz w:val="17"/>
              </w:rPr>
              <w:t>billing.apply_credit</w:t>
            </w:r>
          </w:p>
        </w:tc>
        <w:tc>
          <w:tcPr>
            <w:tcW w:type="dxa" w:w="4824"/>
            <w:vAlign w:val="center"/>
          </w:tcPr>
          <w:p>
            <w:pPr>
              <w:spacing w:after="0"/>
            </w:pPr>
            <w:r>
              <w:rPr>
                <w:sz w:val="17"/>
              </w:rPr>
              <w:t>Credit form adds a reason code and high-value credits require approval confirmation.</w:t>
            </w:r>
          </w:p>
        </w:tc>
        <w:tc>
          <w:tcPr>
            <w:tcW w:type="dxa" w:w="2664"/>
            <w:vAlign w:val="center"/>
          </w:tcPr>
          <w:p>
            <w:pPr>
              <w:spacing w:after="0"/>
            </w:pPr>
            <w:r>
              <w:rPr>
                <w:sz w:val="17"/>
              </w:rPr>
              <w:t>Invalidate/relearn affected billing capability.</w:t>
            </w:r>
          </w:p>
        </w:tc>
      </w:tr>
      <w:tr>
        <w:tc>
          <w:tcPr>
            <w:tcW w:type="dxa" w:w="2520"/>
            <w:vAlign w:val="center"/>
          </w:tcPr>
          <w:p>
            <w:pPr>
              <w:spacing w:after="0"/>
            </w:pPr>
            <w:r>
              <w:rPr>
                <w:sz w:val="17"/>
              </w:rPr>
              <w:t>returns.create_authorization</w:t>
            </w:r>
          </w:p>
        </w:tc>
        <w:tc>
          <w:tcPr>
            <w:tcW w:type="dxa" w:w="4824"/>
            <w:vAlign w:val="center"/>
          </w:tcPr>
          <w:p>
            <w:pPr>
              <w:spacing w:after="0"/>
            </w:pPr>
            <w:r>
              <w:rPr>
                <w:sz w:val="17"/>
              </w:rPr>
              <w:t>Return flow becomes a two-step wizard; reason selector moves to step 2.</w:t>
            </w:r>
          </w:p>
        </w:tc>
        <w:tc>
          <w:tcPr>
            <w:tcW w:type="dxa" w:w="2664"/>
            <w:vAlign w:val="center"/>
          </w:tcPr>
          <w:p>
            <w:pPr>
              <w:spacing w:after="0"/>
            </w:pPr>
            <w:r>
              <w:rPr>
                <w:sz w:val="17"/>
              </w:rPr>
              <w:t>Invalidate/relearn return capability.</w:t>
            </w:r>
          </w:p>
        </w:tc>
      </w:tr>
      <w:tr>
        <w:tc>
          <w:tcPr>
            <w:tcW w:type="dxa" w:w="2520"/>
            <w:vAlign w:val="center"/>
          </w:tcPr>
          <w:p>
            <w:pPr>
              <w:spacing w:after="0"/>
            </w:pPr>
            <w:r>
              <w:rPr>
                <w:sz w:val="17"/>
              </w:rPr>
              <w:t>inventory.reserve_stock</w:t>
            </w:r>
          </w:p>
        </w:tc>
        <w:tc>
          <w:tcPr>
            <w:tcW w:type="dxa" w:w="4824"/>
            <w:vAlign w:val="center"/>
          </w:tcPr>
          <w:p>
            <w:pPr>
              <w:spacing w:after="0"/>
            </w:pPr>
            <w:r>
              <w:rPr>
                <w:sz w:val="17"/>
              </w:rPr>
              <w:t>warehouse_id becomes location_id and a confirmation dialog is added.</w:t>
            </w:r>
          </w:p>
        </w:tc>
        <w:tc>
          <w:tcPr>
            <w:tcW w:type="dxa" w:w="2664"/>
            <w:vAlign w:val="center"/>
          </w:tcPr>
          <w:p>
            <w:pPr>
              <w:spacing w:after="0"/>
            </w:pPr>
            <w:r>
              <w:rPr>
                <w:sz w:val="17"/>
              </w:rPr>
              <w:t>Invalidate/relearn inventory capability.</w:t>
            </w:r>
          </w:p>
        </w:tc>
      </w:tr>
      <w:tr>
        <w:tc>
          <w:tcPr>
            <w:tcW w:type="dxa" w:w="2520"/>
            <w:vAlign w:val="center"/>
          </w:tcPr>
          <w:p>
            <w:pPr>
              <w:spacing w:after="0"/>
            </w:pPr>
            <w:r>
              <w:rPr>
                <w:sz w:val="17"/>
              </w:rPr>
              <w:t>shipping.update_instructions</w:t>
            </w:r>
          </w:p>
        </w:tc>
        <w:tc>
          <w:tcPr>
            <w:tcW w:type="dxa" w:w="4824"/>
            <w:vAlign w:val="center"/>
          </w:tcPr>
          <w:p>
            <w:pPr>
              <w:spacing w:after="0"/>
            </w:pPr>
            <w:r>
              <w:rPr>
                <w:sz w:val="17"/>
              </w:rPr>
              <w:t>Delivery window moves into a shipment-details panel with a changed route.</w:t>
            </w:r>
          </w:p>
        </w:tc>
        <w:tc>
          <w:tcPr>
            <w:tcW w:type="dxa" w:w="2664"/>
            <w:vAlign w:val="center"/>
          </w:tcPr>
          <w:p>
            <w:pPr>
              <w:spacing w:after="0"/>
            </w:pPr>
            <w:r>
              <w:rPr>
                <w:sz w:val="17"/>
              </w:rPr>
              <w:t>Invalidate/relearn shipping capability.</w:t>
            </w:r>
          </w:p>
        </w:tc>
      </w:tr>
      <w:tr>
        <w:tc>
          <w:tcPr>
            <w:tcW w:type="dxa" w:w="2520"/>
            <w:vAlign w:val="center"/>
          </w:tcPr>
          <w:p>
            <w:pPr>
              <w:spacing w:after="0"/>
            </w:pPr>
            <w:r>
              <w:rPr>
                <w:sz w:val="17"/>
              </w:rPr>
              <w:t>orders.lookup_status</w:t>
            </w:r>
          </w:p>
        </w:tc>
        <w:tc>
          <w:tcPr>
            <w:tcW w:type="dxa" w:w="4824"/>
            <w:vAlign w:val="center"/>
          </w:tcPr>
          <w:p>
            <w:pPr>
              <w:spacing w:after="0"/>
            </w:pPr>
            <w:r>
              <w:rPr>
                <w:sz w:val="17"/>
              </w:rPr>
              <w:t>No material UI contract change.</w:t>
            </w:r>
          </w:p>
        </w:tc>
        <w:tc>
          <w:tcPr>
            <w:tcW w:type="dxa" w:w="2664"/>
            <w:vAlign w:val="center"/>
          </w:tcPr>
          <w:p>
            <w:pPr>
              <w:spacing w:after="0"/>
            </w:pPr>
            <w:r>
              <w:rPr>
                <w:sz w:val="17"/>
              </w:rPr>
              <w:t>Existing capability should remain reusable.</w:t>
            </w:r>
          </w:p>
        </w:tc>
      </w:tr>
      <w:tr>
        <w:tc>
          <w:tcPr>
            <w:tcW w:type="dxa" w:w="2520"/>
            <w:vAlign w:val="center"/>
          </w:tcPr>
          <w:p>
            <w:pPr>
              <w:spacing w:after="0"/>
            </w:pPr>
            <w:r>
              <w:rPr>
                <w:sz w:val="17"/>
              </w:rPr>
              <w:t>customers.update_contact</w:t>
            </w:r>
          </w:p>
        </w:tc>
        <w:tc>
          <w:tcPr>
            <w:tcW w:type="dxa" w:w="4824"/>
            <w:vAlign w:val="center"/>
          </w:tcPr>
          <w:p>
            <w:pPr>
              <w:spacing w:after="0"/>
            </w:pPr>
            <w:r>
              <w:rPr>
                <w:sz w:val="17"/>
              </w:rPr>
              <w:t>No material UI contract change.</w:t>
            </w:r>
          </w:p>
        </w:tc>
        <w:tc>
          <w:tcPr>
            <w:tcW w:type="dxa" w:w="2664"/>
            <w:vAlign w:val="center"/>
          </w:tcPr>
          <w:p>
            <w:pPr>
              <w:spacing w:after="0"/>
            </w:pPr>
            <w:r>
              <w:rPr>
                <w:sz w:val="17"/>
              </w:rPr>
              <w:t>Existing capability should remain reusable.</w:t>
            </w:r>
          </w:p>
        </w:tc>
      </w:tr>
    </w:tbl>
    <w:p>
      <w:pPr>
        <w:spacing w:after="40"/>
      </w:pPr>
    </w:p>
    <w:p>
      <w:r>
        <w:t>The V1→V2 transition must be predetermined in the frozen workload and identical for Baseline, Smart, and Naive. Selective invalidation is a required property: unchanged capabilities must not be discarded merely because other parts of the portal changed.</w:t>
      </w:r>
    </w:p>
    <w:p>
      <w:pPr>
        <w:pStyle w:val="Heading1"/>
      </w:pPr>
      <w:r>
        <w:t>11. Capability Compatibility Gates</w:t>
      </w:r>
    </w:p>
    <w:p>
      <w:r>
        <w:t>A Smart capability may execute deterministically only if all applicable gates pass. The implementation may refine exact mechanics during hardening, but the benchmark must preserve these semantic requirements.</w:t>
      </w:r>
    </w:p>
    <w:p>
      <w:pPr>
        <w:pStyle w:val="ListBullet"/>
      </w:pPr>
      <w:r>
        <w:t>Operation-family match.</w:t>
      </w:r>
    </w:p>
    <w:p>
      <w:pPr>
        <w:pStyle w:val="ListBullet"/>
      </w:pPr>
      <w:r>
        <w:t>UI contract/version compatibility.</w:t>
      </w:r>
    </w:p>
    <w:p>
      <w:pPr>
        <w:pStyle w:val="ListBullet"/>
      </w:pPr>
      <w:r>
        <w:t>Expected route/start-state compatibility.</w:t>
      </w:r>
    </w:p>
    <w:p>
      <w:pPr>
        <w:pStyle w:val="ListBullet"/>
      </w:pPr>
      <w:r>
        <w:t>Authentication/authorization context compatibility.</w:t>
      </w:r>
    </w:p>
    <w:p>
      <w:pPr>
        <w:pStyle w:val="ListBullet"/>
      </w:pPr>
      <w:r>
        <w:t>Required request arguments present and type-valid.</w:t>
      </w:r>
    </w:p>
    <w:p>
      <w:pPr>
        <w:pStyle w:val="ListBullet"/>
      </w:pPr>
      <w:r>
        <w:t>Stable selector or semantic locator resolution.</w:t>
      </w:r>
    </w:p>
    <w:p>
      <w:pPr>
        <w:pStyle w:val="ListBullet"/>
      </w:pPr>
      <w:r>
        <w:t>Page/region structural fingerprint within accepted compatibility rules.</w:t>
      </w:r>
    </w:p>
    <w:p>
      <w:pPr>
        <w:pStyle w:val="ListBullet"/>
      </w:pPr>
      <w:r>
        <w:t>Business preconditions satisfied.</w:t>
      </w:r>
    </w:p>
    <w:p>
      <w:pPr>
        <w:pStyle w:val="ListBullet"/>
      </w:pPr>
      <w:r>
        <w:t>No known invalidation or supersession marker.</w:t>
      </w:r>
    </w:p>
    <w:p>
      <w:pPr>
        <w:pStyle w:val="ListBullet"/>
      </w:pPr>
      <w:r>
        <w:t>Postcondition validator available for the operation.</w:t>
      </w:r>
    </w:p>
    <w:p>
      <w:r>
        <w:t>A compatibility failure is not itself an incorrect execution. Smart should refuse unsafe reuse before performing the stale action and route the request to reasoning/relearning.</w:t>
      </w:r>
    </w:p>
    <w:p>
      <w:pPr>
        <w:pStyle w:val="Heading1"/>
      </w:pPr>
      <w:r>
        <w:t>12. Failure-Triggered Relearning</w:t>
      </w:r>
    </w:p>
    <w:p>
      <w:r>
        <w:t>The experiment must distinguish transient execution failures from evidence that a stored capability is stale.</w:t>
      </w:r>
    </w:p>
    <w:p>
      <w:pPr>
        <w:spacing w:before="80" w:after="140"/>
        <w:ind w:left="317" w:right="72"/>
        <w:shd w:fill="F3F7FA"/>
        <w:pBdr>
          <w:left w:val="single" w:sz="24" w:color="0EA5E9"/>
          <w:top w:val="single" w:sz="4" w:color="C8DDEA"/>
          <w:bottom w:val="single" w:sz="4" w:color="C8DDEA"/>
        </w:pBdr>
      </w:pPr>
      <w:r>
        <w:rPr>
          <w:rFonts w:ascii="Consolas" w:hAnsi="Consolas"/>
          <w:sz w:val="16"/>
        </w:rPr>
        <w:t>validated capability</w:t>
        <w:br/>
        <w:t xml:space="preserve">  -&gt; compatibility / execution</w:t>
        <w:br/>
        <w:t xml:space="preserve">       success -&gt; audit -&gt; keep capability</w:t>
        <w:br/>
        <w:t xml:space="preserve">       transient failure -&gt; bounded deterministic retry if policy allows</w:t>
        <w:br/>
        <w:t xml:space="preserve">       stale signature / compatibility failure</w:t>
        <w:br/>
        <w:t xml:space="preserve">          -&gt; invalidate affected capability</w:t>
        <w:br/>
        <w:t xml:space="preserve">          -&gt; LLM reasoning on current UI</w:t>
        <w:br/>
        <w:t xml:space="preserve">          -&gt; validate candidate procedure</w:t>
        <w:br/>
        <w:t xml:space="preserve">          -&gt; execute and audit</w:t>
        <w:br/>
        <w:t xml:space="preserve">          -&gt; promote new capability version</w:t>
      </w:r>
    </w:p>
    <w:p>
      <w:r>
        <w:t>Relearning is counted only when the system returns to the LLM because existing executable knowledge is no longer trustworthy. Repeating the same failed deterministic action is a retry, not relearning.</w:t>
      </w:r>
    </w:p>
    <w:p>
      <w:pPr>
        <w:pStyle w:val="Heading1"/>
      </w:pPr>
      <w:r>
        <w:t>13. Fixed Benchmark Workload</w:t>
      </w:r>
    </w:p>
    <w:p>
      <w:r>
        <w:t>The canonical benchmark contains exactly 150 business requests per architecture. All three architectures receive the same ordered workload, the same application data, the same V1→V2 transition, and the same deterministic ground truth.</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592"/>
            <w:vAlign w:val="center"/>
            <w:shd w:fill="0B2F57"/>
          </w:tcPr>
          <w:p>
            <w:r>
              <w:rPr>
                <w:b/>
                <w:color w:val="FFFFFF"/>
                <w:sz w:val="17"/>
              </w:rPr>
              <w:t>Phase</w:t>
            </w:r>
          </w:p>
        </w:tc>
        <w:tc>
          <w:tcPr>
            <w:tcW w:type="dxa" w:w="1440"/>
            <w:vAlign w:val="center"/>
            <w:shd w:fill="0B2F57"/>
          </w:tcPr>
          <w:p>
            <w:r>
              <w:rPr>
                <w:b/>
                <w:color w:val="FFFFFF"/>
                <w:sz w:val="17"/>
              </w:rPr>
              <w:t>Requests</w:t>
            </w:r>
          </w:p>
        </w:tc>
        <w:tc>
          <w:tcPr>
            <w:tcW w:type="dxa" w:w="1800"/>
            <w:vAlign w:val="center"/>
            <w:shd w:fill="0B2F57"/>
          </w:tcPr>
          <w:p>
            <w:r>
              <w:rPr>
                <w:b/>
                <w:color w:val="FFFFFF"/>
                <w:sz w:val="17"/>
              </w:rPr>
              <w:t>Portal State</w:t>
            </w:r>
          </w:p>
        </w:tc>
        <w:tc>
          <w:tcPr>
            <w:tcW w:type="dxa" w:w="4176"/>
            <w:vAlign w:val="center"/>
            <w:shd w:fill="0B2F57"/>
          </w:tcPr>
          <w:p>
            <w:r>
              <w:rPr>
                <w:b/>
                <w:color w:val="FFFFFF"/>
                <w:sz w:val="17"/>
              </w:rPr>
              <w:t>Purpose</w:t>
            </w:r>
          </w:p>
        </w:tc>
      </w:tr>
      <w:tr>
        <w:tc>
          <w:tcPr>
            <w:tcW w:type="dxa" w:w="2592"/>
            <w:vAlign w:val="center"/>
          </w:tcPr>
          <w:p>
            <w:pPr>
              <w:spacing w:after="0"/>
            </w:pPr>
            <w:r>
              <w:rPr>
                <w:sz w:val="17"/>
              </w:rPr>
              <w:t>A - Acquisition and Stable Reuse</w:t>
            </w:r>
          </w:p>
        </w:tc>
        <w:tc>
          <w:tcPr>
            <w:tcW w:type="dxa" w:w="1440"/>
            <w:vAlign w:val="center"/>
          </w:tcPr>
          <w:p>
            <w:pPr>
              <w:spacing w:after="0"/>
            </w:pPr>
            <w:r>
              <w:rPr>
                <w:sz w:val="17"/>
              </w:rPr>
              <w:t>1-60</w:t>
            </w:r>
          </w:p>
        </w:tc>
        <w:tc>
          <w:tcPr>
            <w:tcW w:type="dxa" w:w="1800"/>
            <w:vAlign w:val="center"/>
          </w:tcPr>
          <w:p>
            <w:pPr>
              <w:spacing w:after="0"/>
            </w:pPr>
            <w:r>
              <w:rPr>
                <w:sz w:val="17"/>
              </w:rPr>
              <w:t>V1</w:t>
            </w:r>
          </w:p>
        </w:tc>
        <w:tc>
          <w:tcPr>
            <w:tcW w:type="dxa" w:w="4176"/>
            <w:vAlign w:val="center"/>
          </w:tcPr>
          <w:p>
            <w:pPr>
              <w:spacing w:after="0"/>
            </w:pPr>
            <w:r>
              <w:rPr>
                <w:sz w:val="17"/>
              </w:rPr>
              <w:t>Establish recurring task families and repeated parameterized work.</w:t>
            </w:r>
          </w:p>
        </w:tc>
      </w:tr>
      <w:tr>
        <w:tc>
          <w:tcPr>
            <w:tcW w:type="dxa" w:w="2592"/>
            <w:vAlign w:val="center"/>
          </w:tcPr>
          <w:p>
            <w:pPr>
              <w:spacing w:after="0"/>
            </w:pPr>
            <w:r>
              <w:rPr>
                <w:sz w:val="17"/>
              </w:rPr>
              <w:t>B - Mixed Stable and Novel Work</w:t>
            </w:r>
          </w:p>
        </w:tc>
        <w:tc>
          <w:tcPr>
            <w:tcW w:type="dxa" w:w="1440"/>
            <w:vAlign w:val="center"/>
          </w:tcPr>
          <w:p>
            <w:pPr>
              <w:spacing w:after="0"/>
            </w:pPr>
            <w:r>
              <w:rPr>
                <w:sz w:val="17"/>
              </w:rPr>
              <w:t>61-90</w:t>
            </w:r>
          </w:p>
        </w:tc>
        <w:tc>
          <w:tcPr>
            <w:tcW w:type="dxa" w:w="1800"/>
            <w:vAlign w:val="center"/>
          </w:tcPr>
          <w:p>
            <w:pPr>
              <w:spacing w:after="0"/>
            </w:pPr>
            <w:r>
              <w:rPr>
                <w:sz w:val="17"/>
              </w:rPr>
              <w:t>V1</w:t>
            </w:r>
          </w:p>
        </w:tc>
        <w:tc>
          <w:tcPr>
            <w:tcW w:type="dxa" w:w="4176"/>
            <w:vAlign w:val="center"/>
          </w:tcPr>
          <w:p>
            <w:pPr>
              <w:spacing w:after="0"/>
            </w:pPr>
            <w:r>
              <w:rPr>
                <w:sz w:val="17"/>
              </w:rPr>
              <w:t>Include less-common variants and requests that may legitimately require reasoning.</w:t>
            </w:r>
          </w:p>
        </w:tc>
      </w:tr>
      <w:tr>
        <w:tc>
          <w:tcPr>
            <w:tcW w:type="dxa" w:w="2592"/>
            <w:vAlign w:val="center"/>
          </w:tcPr>
          <w:p>
            <w:pPr>
              <w:spacing w:after="0"/>
            </w:pPr>
            <w:r>
              <w:rPr>
                <w:sz w:val="17"/>
              </w:rPr>
              <w:t>C - Contract Drift and Recovery</w:t>
            </w:r>
          </w:p>
        </w:tc>
        <w:tc>
          <w:tcPr>
            <w:tcW w:type="dxa" w:w="1440"/>
            <w:vAlign w:val="center"/>
          </w:tcPr>
          <w:p>
            <w:pPr>
              <w:spacing w:after="0"/>
            </w:pPr>
            <w:r>
              <w:rPr>
                <w:sz w:val="17"/>
              </w:rPr>
              <w:t>91-150</w:t>
            </w:r>
          </w:p>
        </w:tc>
        <w:tc>
          <w:tcPr>
            <w:tcW w:type="dxa" w:w="1800"/>
            <w:vAlign w:val="center"/>
          </w:tcPr>
          <w:p>
            <w:pPr>
              <w:spacing w:after="0"/>
            </w:pPr>
            <w:r>
              <w:rPr>
                <w:sz w:val="17"/>
              </w:rPr>
              <w:t>V2</w:t>
            </w:r>
          </w:p>
        </w:tc>
        <w:tc>
          <w:tcPr>
            <w:tcW w:type="dxa" w:w="4176"/>
            <w:vAlign w:val="center"/>
          </w:tcPr>
          <w:p>
            <w:pPr>
              <w:spacing w:after="0"/>
            </w:pPr>
            <w:r>
              <w:rPr>
                <w:sz w:val="17"/>
              </w:rPr>
              <w:t>Exercise affected and unaffected capabilities after targeted UI changes.</w:t>
            </w:r>
          </w:p>
        </w:tc>
      </w:tr>
    </w:tbl>
    <w:p>
      <w:pPr>
        <w:spacing w:after="40"/>
      </w:pPr>
    </w:p>
    <w:p>
      <w:r>
        <w:t>The exact request ledger, operation-family distribution, parameters, novelty labels, and V2-affected labels must be generated once, reviewed, and frozen before the canonical run. The workload must not be modified after seeing benchmark results.</w:t>
      </w:r>
    </w:p>
    <w:p>
      <w:pPr>
        <w:pStyle w:val="Heading1"/>
      </w:pPr>
      <w:r>
        <w:t>14. Demo Workload</w:t>
      </w:r>
    </w:p>
    <w:p>
      <w:r>
        <w:t>In addition to the 150-request benchmark, provide a short human-readable demonstration workload of approximately 15 requests. The demo exists to make acquisition, deterministic reuse, V2 invalidation, and relearning easy to observe. Demo results are illustrative and must not be mixed into the canonical benchmark totals.</w:t>
      </w:r>
    </w:p>
    <w:p>
      <w:pPr>
        <w:pStyle w:val="Heading1"/>
      </w:pPr>
      <w:r>
        <w:t>15. Ground Truth and Correctness</w:t>
      </w:r>
    </w:p>
    <w:p>
      <w:r>
        <w:t>Correctness must be defined at the business outcome, not at the click sequence. Two different valid browser paths may produce the same correct result.</w:t>
      </w:r>
    </w:p>
    <w:p>
      <w:r>
        <w:t>Each request receives deterministic ground truth derived from the controlled portal's authoritative state and business rules. A request is audited correct only when all required postconditions hold.</w:t>
      </w:r>
    </w:p>
    <w:p>
      <w:pPr>
        <w:pStyle w:val="ListBullet"/>
      </w:pPr>
      <w:r>
        <w:t>Read operations: returned business value must equal authoritative state.</w:t>
      </w:r>
    </w:p>
    <w:p>
      <w:pPr>
        <w:pStyle w:val="ListBullet"/>
      </w:pPr>
      <w:r>
        <w:t>Write operations: intended record mutation must exist with correct values.</w:t>
      </w:r>
    </w:p>
    <w:p>
      <w:pPr>
        <w:pStyle w:val="ListBullet"/>
      </w:pPr>
      <w:r>
        <w:t>No unintended side effects may be present.</w:t>
      </w:r>
    </w:p>
    <w:p>
      <w:pPr>
        <w:pStyle w:val="ListBullet"/>
      </w:pPr>
      <w:r>
        <w:t>The request must not be marked successful merely because the browser reached a confirmation-looking page.</w:t>
      </w:r>
    </w:p>
    <w:p>
      <w:pPr>
        <w:pStyle w:val="ListBullet"/>
      </w:pPr>
      <w:r>
        <w:t>For rejected/invalid requests, correct refusal is a valid outcome when dictated by ground truth.</w:t>
      </w:r>
    </w:p>
    <w:p>
      <w:r>
        <w:t>Routing correctness and task correctness must be reported separately. A Smart request can route to the LLM unnecessarily yet still be task-correct; that is an efficiency defect, not a business correctness defect.</w:t>
      </w:r>
    </w:p>
    <w:p>
      <w:pPr>
        <w:pStyle w:val="Heading1"/>
      </w:pPr>
      <w:r>
        <w:t>16. LLM Planning Contract</w:t>
      </w:r>
    </w:p>
    <w:p>
      <w:r>
        <w:t>The LLM planner must return structured data rather than free-form instructions. The schema should describe the intended operation family, navigation/action plan, selectors or semantic targets, request-field bindings, preconditions, postconditions, and confidence/reasoning classification required by the implementation.</w:t>
      </w:r>
    </w:p>
    <w:p>
      <w:r>
        <w:t>Model, provider, model revision if available, temperature/reasoning settings, timeout, retry policy, and pricing assumptions must be pinned in the experiment manifest. The benchmark must record actual token usage returned by the provider. Current pricing must be captured at benchmark time; this specification does not hard-code a universal model price.</w:t>
      </w:r>
    </w:p>
    <w:p>
      <w:pPr>
        <w:pStyle w:val="Heading1"/>
      </w:pPr>
      <w:r>
        <w:t>17. Deterministic Execution Rules</w:t>
      </w:r>
    </w:p>
    <w:p>
      <w:pPr>
        <w:pStyle w:val="ListBullet"/>
      </w:pPr>
      <w:r>
        <w:t>Playwright executes browser actions; the LLM does not directly control the browser during deterministic reuse.</w:t>
      </w:r>
    </w:p>
    <w:p>
      <w:pPr>
        <w:pStyle w:val="ListBullet"/>
      </w:pPr>
      <w:r>
        <w:t>No hidden LLM call may occur on a deterministic-reuse path.</w:t>
      </w:r>
    </w:p>
    <w:p>
      <w:pPr>
        <w:pStyle w:val="ListBullet"/>
      </w:pPr>
      <w:r>
        <w:t>Selectors should prefer stable semantic attributes over brittle positional selectors.</w:t>
      </w:r>
    </w:p>
    <w:p>
      <w:pPr>
        <w:pStyle w:val="ListBullet"/>
      </w:pPr>
      <w:r>
        <w:t>Waits must be state-based where possible, not arbitrary long sleeps.</w:t>
      </w:r>
    </w:p>
    <w:p>
      <w:pPr>
        <w:pStyle w:val="ListBullet"/>
      </w:pPr>
      <w:r>
        <w:t>Every write operation requires a deterministic postcondition audit.</w:t>
      </w:r>
    </w:p>
    <w:p>
      <w:pPr>
        <w:pStyle w:val="ListBullet"/>
      </w:pPr>
      <w:r>
        <w:t>Capability promotion occurs only after candidate validation and successful audited execution.</w:t>
      </w:r>
    </w:p>
    <w:p>
      <w:pPr>
        <w:pStyle w:val="ListBullet"/>
      </w:pPr>
      <w:r>
        <w:t>A failed candidate is not stored as Validated.</w:t>
      </w:r>
    </w:p>
    <w:p>
      <w:pPr>
        <w:pStyle w:val="ListBullet"/>
      </w:pPr>
      <w:r>
        <w:t>Naive replay must not silently inherit Smart's compatibility protections.</w:t>
      </w:r>
    </w:p>
    <w:p>
      <w:pPr>
        <w:pStyle w:val="Heading1"/>
      </w:pPr>
      <w:r>
        <w:t>18. Metrics</w:t>
      </w:r>
    </w:p>
    <w:tbl>
      <w:tblPr>
        <w:tblStyle w:val="TableGrid"/>
        <w:tblW w:type="auto" w:w="0"/>
        <w:jc w:val="center"/>
        <w:tblLook w:firstColumn="1" w:firstRow="1" w:lastColumn="0" w:lastRow="0" w:noHBand="0" w:noVBand="1" w:val="04A0"/>
      </w:tblPr>
      <w:tblGrid>
        <w:gridCol w:w="4997"/>
        <w:gridCol w:w="4997"/>
      </w:tblGrid>
      <w:tr>
        <w:tc>
          <w:tcPr>
            <w:tcW w:type="dxa" w:w="1872"/>
            <w:vAlign w:val="center"/>
            <w:shd w:fill="0B2F57"/>
          </w:tcPr>
          <w:p>
            <w:r>
              <w:rPr>
                <w:b/>
                <w:color w:val="FFFFFF"/>
                <w:sz w:val="17"/>
              </w:rPr>
              <w:t>Category</w:t>
            </w:r>
          </w:p>
        </w:tc>
        <w:tc>
          <w:tcPr>
            <w:tcW w:type="dxa" w:w="7920"/>
            <w:vAlign w:val="center"/>
            <w:shd w:fill="0B2F57"/>
          </w:tcPr>
          <w:p>
            <w:r>
              <w:rPr>
                <w:b/>
                <w:color w:val="FFFFFF"/>
                <w:sz w:val="17"/>
              </w:rPr>
              <w:t>Required Metrics</w:t>
            </w:r>
          </w:p>
        </w:tc>
      </w:tr>
      <w:tr>
        <w:tc>
          <w:tcPr>
            <w:tcW w:type="dxa" w:w="1872"/>
            <w:vAlign w:val="center"/>
          </w:tcPr>
          <w:p>
            <w:pPr>
              <w:spacing w:after="0"/>
            </w:pPr>
            <w:r>
              <w:rPr>
                <w:sz w:val="17"/>
              </w:rPr>
              <w:t>Correctness</w:t>
            </w:r>
          </w:p>
        </w:tc>
        <w:tc>
          <w:tcPr>
            <w:tcW w:type="dxa" w:w="7920"/>
            <w:vAlign w:val="center"/>
          </w:tcPr>
          <w:p>
            <w:pPr>
              <w:spacing w:after="0"/>
            </w:pPr>
            <w:r>
              <w:rPr>
                <w:sz w:val="17"/>
              </w:rPr>
              <w:t>correct requests, incorrect requests, correctness %, stale/incorrect reuses, unintended side effects</w:t>
            </w:r>
          </w:p>
        </w:tc>
      </w:tr>
      <w:tr>
        <w:tc>
          <w:tcPr>
            <w:tcW w:type="dxa" w:w="1872"/>
            <w:vAlign w:val="center"/>
          </w:tcPr>
          <w:p>
            <w:pPr>
              <w:spacing w:after="0"/>
            </w:pPr>
            <w:r>
              <w:rPr>
                <w:sz w:val="17"/>
              </w:rPr>
              <w:t>LLM usage</w:t>
            </w:r>
          </w:p>
        </w:tc>
        <w:tc>
          <w:tcPr>
            <w:tcW w:type="dxa" w:w="7920"/>
            <w:vAlign w:val="center"/>
          </w:tcPr>
          <w:p>
            <w:pPr>
              <w:spacing w:after="0"/>
            </w:pPr>
            <w:r>
              <w:rPr>
                <w:sz w:val="17"/>
              </w:rPr>
              <w:t>LLM calls, calls avoided vs. Baseline, input/output/cached/reasoning tokens where available</w:t>
            </w:r>
          </w:p>
        </w:tc>
      </w:tr>
      <w:tr>
        <w:tc>
          <w:tcPr>
            <w:tcW w:type="dxa" w:w="1872"/>
            <w:vAlign w:val="center"/>
          </w:tcPr>
          <w:p>
            <w:pPr>
              <w:spacing w:after="0"/>
            </w:pPr>
            <w:r>
              <w:rPr>
                <w:sz w:val="17"/>
              </w:rPr>
              <w:t>Routing</w:t>
            </w:r>
          </w:p>
        </w:tc>
        <w:tc>
          <w:tcPr>
            <w:tcW w:type="dxa" w:w="7920"/>
            <w:vAlign w:val="center"/>
          </w:tcPr>
          <w:p>
            <w:pPr>
              <w:spacing w:after="0"/>
            </w:pPr>
            <w:r>
              <w:rPr>
                <w:sz w:val="17"/>
              </w:rPr>
              <w:t>initial acquisition, deterministic reuse, reasoning required, relearning, fallback, invalidation</w:t>
            </w:r>
          </w:p>
        </w:tc>
      </w:tr>
      <w:tr>
        <w:tc>
          <w:tcPr>
            <w:tcW w:type="dxa" w:w="1872"/>
            <w:vAlign w:val="center"/>
          </w:tcPr>
          <w:p>
            <w:pPr>
              <w:spacing w:after="0"/>
            </w:pPr>
            <w:r>
              <w:rPr>
                <w:sz w:val="17"/>
              </w:rPr>
              <w:t>Economics</w:t>
            </w:r>
          </w:p>
        </w:tc>
        <w:tc>
          <w:tcPr>
            <w:tcW w:type="dxa" w:w="7920"/>
            <w:vAlign w:val="center"/>
          </w:tcPr>
          <w:p>
            <w:pPr>
              <w:spacing w:after="0"/>
            </w:pPr>
            <w:r>
              <w:rPr>
                <w:sz w:val="17"/>
              </w:rPr>
              <w:t>measured LLM cost, cost per request, savings vs. Baseline, reduction %, deterministic execution cost if measured</w:t>
            </w:r>
          </w:p>
        </w:tc>
      </w:tr>
      <w:tr>
        <w:tc>
          <w:tcPr>
            <w:tcW w:type="dxa" w:w="1872"/>
            <w:vAlign w:val="center"/>
          </w:tcPr>
          <w:p>
            <w:pPr>
              <w:spacing w:after="0"/>
            </w:pPr>
            <w:r>
              <w:rPr>
                <w:sz w:val="17"/>
              </w:rPr>
              <w:t>Latency</w:t>
            </w:r>
          </w:p>
        </w:tc>
        <w:tc>
          <w:tcPr>
            <w:tcW w:type="dxa" w:w="7920"/>
            <w:vAlign w:val="center"/>
          </w:tcPr>
          <w:p>
            <w:pPr>
              <w:spacing w:after="0"/>
            </w:pPr>
            <w:r>
              <w:rPr>
                <w:sz w:val="17"/>
              </w:rPr>
              <w:t>end-to-end latency, LLM planning latency, deterministic browser execution latency, validation latency</w:t>
            </w:r>
          </w:p>
        </w:tc>
      </w:tr>
      <w:tr>
        <w:tc>
          <w:tcPr>
            <w:tcW w:type="dxa" w:w="1872"/>
            <w:vAlign w:val="center"/>
          </w:tcPr>
          <w:p>
            <w:pPr>
              <w:spacing w:after="0"/>
            </w:pPr>
            <w:r>
              <w:rPr>
                <w:sz w:val="17"/>
              </w:rPr>
              <w:t>UI safety</w:t>
            </w:r>
          </w:p>
        </w:tc>
        <w:tc>
          <w:tcPr>
            <w:tcW w:type="dxa" w:w="7920"/>
            <w:vAlign w:val="center"/>
          </w:tcPr>
          <w:p>
            <w:pPr>
              <w:spacing w:after="0"/>
            </w:pPr>
            <w:r>
              <w:rPr>
                <w:sz w:val="17"/>
              </w:rPr>
              <w:t>compatibility failures, selector failures, precondition failures, postcondition failures, stale-capability detections</w:t>
            </w:r>
          </w:p>
        </w:tc>
      </w:tr>
      <w:tr>
        <w:tc>
          <w:tcPr>
            <w:tcW w:type="dxa" w:w="1872"/>
            <w:vAlign w:val="center"/>
          </w:tcPr>
          <w:p>
            <w:pPr>
              <w:spacing w:after="0"/>
            </w:pPr>
            <w:r>
              <w:rPr>
                <w:sz w:val="17"/>
              </w:rPr>
              <w:t>Recovery</w:t>
            </w:r>
          </w:p>
        </w:tc>
        <w:tc>
          <w:tcPr>
            <w:tcW w:type="dxa" w:w="7920"/>
            <w:vAlign w:val="center"/>
          </w:tcPr>
          <w:p>
            <w:pPr>
              <w:spacing w:after="0"/>
            </w:pPr>
            <w:r>
              <w:rPr>
                <w:sz w:val="17"/>
              </w:rPr>
              <w:t>capabilities invalidated, capabilities relearned, recovery success, requests until safe reuse resumes</w:t>
            </w:r>
          </w:p>
        </w:tc>
      </w:tr>
    </w:tbl>
    <w:p>
      <w:pPr>
        <w:spacing w:after="40"/>
      </w:pPr>
    </w:p>
    <w:p>
      <w:pPr>
        <w:pStyle w:val="Heading1"/>
      </w:pPr>
      <w:r>
        <w:t>19. Economics</w:t>
      </w:r>
    </w:p>
    <w:p>
      <w:r>
        <w:t>The primary economic comparison is measured LLM cost under the frozen workload. If browser/runtime infrastructure cost is measured reliably, it should be reported separately rather than silently folded into LLM cost.</w:t>
      </w:r>
    </w:p>
    <w:p>
      <w:pPr>
        <w:spacing w:before="80" w:after="140"/>
        <w:ind w:left="317" w:right="72"/>
        <w:shd w:fill="F3F7FA"/>
        <w:pBdr>
          <w:left w:val="single" w:sz="24" w:color="0EA5E9"/>
          <w:top w:val="single" w:sz="4" w:color="C8DDEA"/>
          <w:bottom w:val="single" w:sz="4" w:color="C8DDEA"/>
        </w:pBdr>
      </w:pPr>
      <w:r>
        <w:rPr>
          <w:rFonts w:ascii="Consolas" w:hAnsi="Consolas"/>
          <w:sz w:val="16"/>
        </w:rPr>
        <w:t>Measured LLM Cost</w:t>
        <w:br/>
        <w:t xml:space="preserve">  = sum(actual provider-reported token usage × pinned benchmark prices)</w:t>
        <w:br/>
        <w:br/>
        <w:t>Measured LLM Savings vs. Baseline</w:t>
        <w:br/>
        <w:t xml:space="preserve">  = Baseline measured LLM cost - Architecture measured LLM cost</w:t>
        <w:br/>
        <w:br/>
        <w:t>Measured LLM Cost Reduction %</w:t>
        <w:br/>
        <w:t xml:space="preserve">  = Savings / Baseline measured LLM cost × 100</w:t>
      </w:r>
    </w:p>
    <w:p>
      <w:r>
        <w:t>Publication language must say 'measured LLM cost' unless the experiment actually measures the complete infrastructure cost of browser execution. A reduction observed here is a benchmark result for this workload, not a universal savings percentage for computer-use agents.</w:t>
      </w:r>
    </w:p>
    <w:p>
      <w:pPr>
        <w:pStyle w:val="Heading1"/>
      </w:pPr>
      <w:r>
        <w:t>20. Latency Interpretation</w:t>
      </w:r>
    </w:p>
    <w:p>
      <w:r>
        <w:t>The benchmark should report latency, but it must not claim that deterministic reuse makes the LLM itself faster. The expected mechanism is architectural: requests that safely bypass model reasoning avoid model-call latency. Browser execution may still dominate some tasks.</w:t>
      </w:r>
    </w:p>
    <w:p>
      <w:r>
        <w:t>Report distributions where practical - at minimum median and p95 end-to-end latency by architecture and routing path - because browser automation can contain asynchronous tails.</w:t>
      </w:r>
    </w:p>
    <w:p>
      <w:pPr>
        <w:pStyle w:val="Heading1"/>
      </w:pPr>
      <w:r>
        <w:t>21. Evidence Ledger</w:t>
      </w:r>
    </w:p>
    <w:p>
      <w:r>
        <w:t>Every canonical request must produce an immutable JSONL execution record sufficient for independent audit.</w:t>
      </w:r>
    </w:p>
    <w:p>
      <w:pPr>
        <w:spacing w:before="80" w:after="140"/>
        <w:ind w:left="317" w:right="72"/>
        <w:shd w:fill="F3F7FA"/>
        <w:pBdr>
          <w:left w:val="single" w:sz="24" w:color="0EA5E9"/>
          <w:top w:val="single" w:sz="4" w:color="C8DDEA"/>
          <w:bottom w:val="single" w:sz="4" w:color="C8DDEA"/>
        </w:pBdr>
      </w:pPr>
      <w:r>
        <w:rPr>
          <w:rFonts w:ascii="Consolas" w:hAnsi="Consolas"/>
          <w:sz w:val="16"/>
        </w:rPr>
        <w:t>{</w:t>
        <w:br/>
        <w:t xml:space="preserve">  "request_id": "...",</w:t>
        <w:br/>
        <w:t xml:space="preserve">  "architecture": "baseline|smart|naive",</w:t>
        <w:br/>
        <w:t xml:space="preserve">  "phase": "A|B|C",</w:t>
        <w:br/>
        <w:t xml:space="preserve">  "ui_contract_version": "V1|V2",</w:t>
        <w:br/>
        <w:t xml:space="preserve">  "operation_family": "...",</w:t>
        <w:br/>
        <w:t xml:space="preserve">  "routing_path": "...",</w:t>
        <w:br/>
        <w:t xml:space="preserve">  "capability_id": "...",</w:t>
        <w:br/>
        <w:t xml:space="preserve">  "capability_version": "...",</w:t>
        <w:br/>
        <w:t xml:space="preserve">  "compatibility_checks": {...},</w:t>
        <w:br/>
        <w:t xml:space="preserve">  "llm_called": true,</w:t>
        <w:br/>
        <w:t xml:space="preserve">  "model": "...",</w:t>
        <w:br/>
        <w:t xml:space="preserve">  "token_usage": {...},</w:t>
        <w:br/>
        <w:t xml:space="preserve">  "measured_llm_cost": 0.0,</w:t>
        <w:br/>
        <w:t xml:space="preserve">  "browser_actions": [...],</w:t>
        <w:br/>
        <w:t xml:space="preserve">  "validation": {...},</w:t>
        <w:br/>
        <w:t xml:space="preserve">  "audited_correct": true,</w:t>
        <w:br/>
        <w:t xml:space="preserve">  "stale_reuse": false,</w:t>
        <w:br/>
        <w:t xml:space="preserve">  "latency_ms": {...},</w:t>
        <w:br/>
        <w:t xml:space="preserve">  "error": null</w:t>
        <w:br/>
        <w:t>}</w:t>
      </w:r>
    </w:p>
    <w:p>
      <w:pPr>
        <w:pStyle w:val="Heading1"/>
      </w:pPr>
      <w:r>
        <w:t>22. Required Evidence Package</w:t>
      </w:r>
    </w:p>
    <w:p>
      <w:pPr>
        <w:pStyle w:val="ListBullet"/>
      </w:pPr>
      <w:r>
        <w:t>experiment-manifest.json - model, settings, pricing, workload hash, code version, environment, timestamps.</w:t>
      </w:r>
    </w:p>
    <w:p>
      <w:pPr>
        <w:pStyle w:val="ListBullet"/>
      </w:pPr>
      <w:r>
        <w:t>workload.jsonl - frozen 150-request canonical workload.</w:t>
      </w:r>
    </w:p>
    <w:p>
      <w:pPr>
        <w:pStyle w:val="ListBullet"/>
      </w:pPr>
      <w:r>
        <w:t>demo-workload.jsonl - separate human-readable demonstration workload.</w:t>
      </w:r>
    </w:p>
    <w:p>
      <w:pPr>
        <w:pStyle w:val="ListBullet"/>
      </w:pPr>
      <w:r>
        <w:t>baseline-executions.jsonl - raw Baseline ledger.</w:t>
      </w:r>
    </w:p>
    <w:p>
      <w:pPr>
        <w:pStyle w:val="ListBullet"/>
      </w:pPr>
      <w:r>
        <w:t>smart-executions.jsonl - raw Smart ledger.</w:t>
      </w:r>
    </w:p>
    <w:p>
      <w:pPr>
        <w:pStyle w:val="ListBullet"/>
      </w:pPr>
      <w:r>
        <w:t>naive-executions.jsonl - raw Naive ledger.</w:t>
      </w:r>
    </w:p>
    <w:p>
      <w:pPr>
        <w:pStyle w:val="ListBullet"/>
      </w:pPr>
      <w:r>
        <w:t>execution-summary.json - derived metrics only; never authoritative over raw ledgers.</w:t>
      </w:r>
    </w:p>
    <w:p>
      <w:pPr>
        <w:pStyle w:val="ListBullet"/>
      </w:pPr>
      <w:r>
        <w:t>smart-capability-registry.json - final registry snapshot and capability version history.</w:t>
      </w:r>
    </w:p>
    <w:p>
      <w:pPr>
        <w:pStyle w:val="ListBullet"/>
      </w:pPr>
      <w:r>
        <w:t>ui-contract-v1.json and ui-contract-v2.json - frozen UI/business contract definitions.</w:t>
      </w:r>
    </w:p>
    <w:p>
      <w:pPr>
        <w:pStyle w:val="ListBullet"/>
      </w:pPr>
      <w:r>
        <w:t>audit-report.json - independent recomputation of correctness, routing, LLM usage, stale reuse, and economics.</w:t>
      </w:r>
    </w:p>
    <w:p>
      <w:pPr>
        <w:pStyle w:val="ListBullet"/>
      </w:pPr>
      <w:r>
        <w:t>README.md - exact reproduction instructions.</w:t>
      </w:r>
    </w:p>
    <w:p>
      <w:pPr>
        <w:pStyle w:val="ListBullet"/>
      </w:pPr>
      <w:r>
        <w:t>SHA256SUMS.txt - cryptographic fingerprints for canonical artifacts.</w:t>
      </w:r>
    </w:p>
    <w:p>
      <w:pPr>
        <w:pStyle w:val="Heading1"/>
      </w:pPr>
      <w:r>
        <w:t>23. Independent Audit Requirements</w:t>
      </w:r>
    </w:p>
    <w:p>
      <w:r>
        <w:t>The audit script must derive benchmark totals from raw ledgers rather than trusting execution-summary.json. At minimum it must independently recompute:</w:t>
      </w:r>
    </w:p>
    <w:p>
      <w:pPr>
        <w:pStyle w:val="ListBullet"/>
      </w:pPr>
      <w:r>
        <w:t>150 requests per architecture and identical request IDs/order.</w:t>
      </w:r>
    </w:p>
    <w:p>
      <w:pPr>
        <w:pStyle w:val="ListBullet"/>
      </w:pPr>
      <w:r>
        <w:t>Correct/incorrect totals and correctness percentages.</w:t>
      </w:r>
    </w:p>
    <w:p>
      <w:pPr>
        <w:pStyle w:val="ListBullet"/>
      </w:pPr>
      <w:r>
        <w:t>LLM-call totals and call avoidance.</w:t>
      </w:r>
    </w:p>
    <w:p>
      <w:pPr>
        <w:pStyle w:val="ListBullet"/>
      </w:pPr>
      <w:r>
        <w:t>Routing-path distribution for Smart.</w:t>
      </w:r>
    </w:p>
    <w:p>
      <w:pPr>
        <w:pStyle w:val="ListBullet"/>
      </w:pPr>
      <w:r>
        <w:t>Stale/incorrect reuse counts.</w:t>
      </w:r>
    </w:p>
    <w:p>
      <w:pPr>
        <w:pStyle w:val="ListBullet"/>
      </w:pPr>
      <w:r>
        <w:t>Token totals and measured LLM economics.</w:t>
      </w:r>
    </w:p>
    <w:p>
      <w:pPr>
        <w:pStyle w:val="ListBullet"/>
      </w:pPr>
      <w:r>
        <w:t>V1/V2 phase totals.</w:t>
      </w:r>
    </w:p>
    <w:p>
      <w:pPr>
        <w:pStyle w:val="ListBullet"/>
      </w:pPr>
      <w:r>
        <w:t>Affected versus unaffected operation-family behavior after drift.</w:t>
      </w:r>
    </w:p>
    <w:p>
      <w:pPr>
        <w:pStyle w:val="ListBullet"/>
      </w:pPr>
      <w:r>
        <w:t>Capability invalidation and relearning counts.</w:t>
      </w:r>
    </w:p>
    <w:p>
      <w:pPr>
        <w:pStyle w:val="ListBullet"/>
      </w:pPr>
      <w:r>
        <w:t>Hash consistency for workload and evidence artifacts.</w:t>
      </w:r>
    </w:p>
    <w:p>
      <w:pPr>
        <w:pStyle w:val="Heading1"/>
      </w:pPr>
      <w:r>
        <w:t>24. Acceptance Criteria</w:t>
      </w:r>
    </w:p>
    <w:tbl>
      <w:tblPr>
        <w:tblStyle w:val="TableGrid"/>
        <w:tblW w:type="auto" w:w="0"/>
        <w:jc w:val="center"/>
        <w:tblLook w:firstColumn="1" w:firstRow="1" w:lastColumn="0" w:lastRow="0" w:noHBand="0" w:noVBand="1" w:val="04A0"/>
      </w:tblPr>
      <w:tblGrid>
        <w:gridCol w:w="4997"/>
        <w:gridCol w:w="4997"/>
      </w:tblGrid>
      <w:tr>
        <w:tc>
          <w:tcPr>
            <w:tcW w:type="dxa" w:w="2088"/>
            <w:vAlign w:val="center"/>
            <w:shd w:fill="0B2F57"/>
          </w:tcPr>
          <w:p>
            <w:r>
              <w:rPr>
                <w:b/>
                <w:color w:val="FFFFFF"/>
                <w:sz w:val="17"/>
              </w:rPr>
              <w:t>Area</w:t>
            </w:r>
          </w:p>
        </w:tc>
        <w:tc>
          <w:tcPr>
            <w:tcW w:type="dxa" w:w="7704"/>
            <w:vAlign w:val="center"/>
            <w:shd w:fill="0B2F57"/>
          </w:tcPr>
          <w:p>
            <w:r>
              <w:rPr>
                <w:b/>
                <w:color w:val="FFFFFF"/>
                <w:sz w:val="17"/>
              </w:rPr>
              <w:t>Acceptance Criterion</w:t>
            </w:r>
          </w:p>
        </w:tc>
      </w:tr>
      <w:tr>
        <w:tc>
          <w:tcPr>
            <w:tcW w:type="dxa" w:w="2088"/>
            <w:vAlign w:val="center"/>
          </w:tcPr>
          <w:p>
            <w:pPr>
              <w:spacing w:after="0"/>
            </w:pPr>
            <w:r>
              <w:rPr>
                <w:sz w:val="17"/>
              </w:rPr>
              <w:t>Reproducibility</w:t>
            </w:r>
          </w:p>
        </w:tc>
        <w:tc>
          <w:tcPr>
            <w:tcW w:type="dxa" w:w="7704"/>
            <w:vAlign w:val="center"/>
          </w:tcPr>
          <w:p>
            <w:pPr>
              <w:spacing w:after="0"/>
            </w:pPr>
            <w:r>
              <w:rPr>
                <w:sz w:val="17"/>
              </w:rPr>
              <w:t>Canonical workload, code, model configuration, pricing, UI contracts, and evidence are frozen and hashable.</w:t>
            </w:r>
          </w:p>
        </w:tc>
      </w:tr>
      <w:tr>
        <w:tc>
          <w:tcPr>
            <w:tcW w:type="dxa" w:w="2088"/>
            <w:vAlign w:val="center"/>
          </w:tcPr>
          <w:p>
            <w:pPr>
              <w:spacing w:after="0"/>
            </w:pPr>
            <w:r>
              <w:rPr>
                <w:sz w:val="17"/>
              </w:rPr>
              <w:t>Completeness</w:t>
            </w:r>
          </w:p>
        </w:tc>
        <w:tc>
          <w:tcPr>
            <w:tcW w:type="dxa" w:w="7704"/>
            <w:vAlign w:val="center"/>
          </w:tcPr>
          <w:p>
            <w:pPr>
              <w:spacing w:after="0"/>
            </w:pPr>
            <w:r>
              <w:rPr>
                <w:sz w:val="17"/>
              </w:rPr>
              <w:t>Exactly 150 canonical requests execute for each architecture; no missing ledger rows.</w:t>
            </w:r>
          </w:p>
        </w:tc>
      </w:tr>
      <w:tr>
        <w:tc>
          <w:tcPr>
            <w:tcW w:type="dxa" w:w="2088"/>
            <w:vAlign w:val="center"/>
          </w:tcPr>
          <w:p>
            <w:pPr>
              <w:spacing w:after="0"/>
            </w:pPr>
            <w:r>
              <w:rPr>
                <w:sz w:val="17"/>
              </w:rPr>
              <w:t>Ground truth</w:t>
            </w:r>
          </w:p>
        </w:tc>
        <w:tc>
          <w:tcPr>
            <w:tcW w:type="dxa" w:w="7704"/>
            <w:vAlign w:val="center"/>
          </w:tcPr>
          <w:p>
            <w:pPr>
              <w:spacing w:after="0"/>
            </w:pPr>
            <w:r>
              <w:rPr>
                <w:sz w:val="17"/>
              </w:rPr>
              <w:t>Every request has deterministic auditable expected outcome.</w:t>
            </w:r>
          </w:p>
        </w:tc>
      </w:tr>
      <w:tr>
        <w:tc>
          <w:tcPr>
            <w:tcW w:type="dxa" w:w="2088"/>
            <w:vAlign w:val="center"/>
          </w:tcPr>
          <w:p>
            <w:pPr>
              <w:spacing w:after="0"/>
            </w:pPr>
            <w:r>
              <w:rPr>
                <w:sz w:val="17"/>
              </w:rPr>
              <w:t>Baseline</w:t>
            </w:r>
          </w:p>
        </w:tc>
        <w:tc>
          <w:tcPr>
            <w:tcW w:type="dxa" w:w="7704"/>
            <w:vAlign w:val="center"/>
          </w:tcPr>
          <w:p>
            <w:pPr>
              <w:spacing w:after="0"/>
            </w:pPr>
            <w:r>
              <w:rPr>
                <w:sz w:val="17"/>
              </w:rPr>
              <w:t>Baseline reasons with the LLM for every canonical request.</w:t>
            </w:r>
          </w:p>
        </w:tc>
      </w:tr>
      <w:tr>
        <w:tc>
          <w:tcPr>
            <w:tcW w:type="dxa" w:w="2088"/>
            <w:vAlign w:val="center"/>
          </w:tcPr>
          <w:p>
            <w:pPr>
              <w:spacing w:after="0"/>
            </w:pPr>
            <w:r>
              <w:rPr>
                <w:sz w:val="17"/>
              </w:rPr>
              <w:t>Smart safety</w:t>
            </w:r>
          </w:p>
        </w:tc>
        <w:tc>
          <w:tcPr>
            <w:tcW w:type="dxa" w:w="7704"/>
            <w:vAlign w:val="center"/>
          </w:tcPr>
          <w:p>
            <w:pPr>
              <w:spacing w:after="0"/>
            </w:pPr>
            <w:r>
              <w:rPr>
                <w:sz w:val="17"/>
              </w:rPr>
              <w:t>No Smart deterministic reuse is counted correct without postcondition validation.</w:t>
            </w:r>
          </w:p>
        </w:tc>
      </w:tr>
      <w:tr>
        <w:tc>
          <w:tcPr>
            <w:tcW w:type="dxa" w:w="2088"/>
            <w:vAlign w:val="center"/>
          </w:tcPr>
          <w:p>
            <w:pPr>
              <w:spacing w:after="0"/>
            </w:pPr>
            <w:r>
              <w:rPr>
                <w:sz w:val="17"/>
              </w:rPr>
              <w:t>Selective invalidation</w:t>
            </w:r>
          </w:p>
        </w:tc>
        <w:tc>
          <w:tcPr>
            <w:tcW w:type="dxa" w:w="7704"/>
            <w:vAlign w:val="center"/>
          </w:tcPr>
          <w:p>
            <w:pPr>
              <w:spacing w:after="0"/>
            </w:pPr>
            <w:r>
              <w:rPr>
                <w:sz w:val="17"/>
              </w:rPr>
              <w:t>V2 changes invalidate affected capabilities without indiscriminately clearing unaffected ones.</w:t>
            </w:r>
          </w:p>
        </w:tc>
      </w:tr>
      <w:tr>
        <w:tc>
          <w:tcPr>
            <w:tcW w:type="dxa" w:w="2088"/>
            <w:vAlign w:val="center"/>
          </w:tcPr>
          <w:p>
            <w:pPr>
              <w:spacing w:after="0"/>
            </w:pPr>
            <w:r>
              <w:rPr>
                <w:sz w:val="17"/>
              </w:rPr>
              <w:t>Recovery</w:t>
            </w:r>
          </w:p>
        </w:tc>
        <w:tc>
          <w:tcPr>
            <w:tcW w:type="dxa" w:w="7704"/>
            <w:vAlign w:val="center"/>
          </w:tcPr>
          <w:p>
            <w:pPr>
              <w:spacing w:after="0"/>
            </w:pPr>
            <w:r>
              <w:rPr>
                <w:sz w:val="17"/>
              </w:rPr>
              <w:t>At least one affected capability demonstrates invalidation -&gt; LLM relearning -&gt; validation -&gt; promoted replacement -&gt; later deterministic reuse.</w:t>
            </w:r>
          </w:p>
        </w:tc>
      </w:tr>
      <w:tr>
        <w:tc>
          <w:tcPr>
            <w:tcW w:type="dxa" w:w="2088"/>
            <w:vAlign w:val="center"/>
          </w:tcPr>
          <w:p>
            <w:pPr>
              <w:spacing w:after="0"/>
            </w:pPr>
            <w:r>
              <w:rPr>
                <w:sz w:val="17"/>
              </w:rPr>
              <w:t>Naive separation</w:t>
            </w:r>
          </w:p>
        </w:tc>
        <w:tc>
          <w:tcPr>
            <w:tcW w:type="dxa" w:w="7704"/>
            <w:vAlign w:val="center"/>
          </w:tcPr>
          <w:p>
            <w:pPr>
              <w:spacing w:after="0"/>
            </w:pPr>
            <w:r>
              <w:rPr>
                <w:sz w:val="17"/>
              </w:rPr>
              <w:t>Naive does not use Smart compatibility gates or selective invalidation logic.</w:t>
            </w:r>
          </w:p>
        </w:tc>
      </w:tr>
      <w:tr>
        <w:tc>
          <w:tcPr>
            <w:tcW w:type="dxa" w:w="2088"/>
            <w:vAlign w:val="center"/>
          </w:tcPr>
          <w:p>
            <w:pPr>
              <w:spacing w:after="0"/>
            </w:pPr>
            <w:r>
              <w:rPr>
                <w:sz w:val="17"/>
              </w:rPr>
              <w:t>Economics</w:t>
            </w:r>
          </w:p>
        </w:tc>
        <w:tc>
          <w:tcPr>
            <w:tcW w:type="dxa" w:w="7704"/>
            <w:vAlign w:val="center"/>
          </w:tcPr>
          <w:p>
            <w:pPr>
              <w:spacing w:after="0"/>
            </w:pPr>
            <w:r>
              <w:rPr>
                <w:sz w:val="17"/>
              </w:rPr>
              <w:t>All dollar claims derive from recorded token usage and manifest pricing.</w:t>
            </w:r>
          </w:p>
        </w:tc>
      </w:tr>
      <w:tr>
        <w:tc>
          <w:tcPr>
            <w:tcW w:type="dxa" w:w="2088"/>
            <w:vAlign w:val="center"/>
          </w:tcPr>
          <w:p>
            <w:pPr>
              <w:spacing w:after="0"/>
            </w:pPr>
            <w:r>
              <w:rPr>
                <w:sz w:val="17"/>
              </w:rPr>
              <w:t>Publication</w:t>
            </w:r>
          </w:p>
        </w:tc>
        <w:tc>
          <w:tcPr>
            <w:tcW w:type="dxa" w:w="7704"/>
            <w:vAlign w:val="center"/>
          </w:tcPr>
          <w:p>
            <w:pPr>
              <w:spacing w:after="0"/>
            </w:pPr>
            <w:r>
              <w:rPr>
                <w:sz w:val="17"/>
              </w:rPr>
              <w:t>Chapter claims are limited to what the frozen evidence establishes.</w:t>
            </w:r>
          </w:p>
        </w:tc>
      </w:tr>
    </w:tbl>
    <w:p>
      <w:pPr>
        <w:spacing w:after="40"/>
      </w:pPr>
    </w:p>
    <w:p>
      <w:pPr>
        <w:pStyle w:val="Heading1"/>
      </w:pPr>
      <w:r>
        <w:t>25. Non-Goals and Claim Boundaries</w:t>
      </w:r>
    </w:p>
    <w:p>
      <w:pPr>
        <w:pStyle w:val="ListBullet"/>
      </w:pPr>
      <w:r>
        <w:t>This experiment does not claim that all websites are safely automatable.</w:t>
      </w:r>
    </w:p>
    <w:p>
      <w:pPr>
        <w:pStyle w:val="ListBullet"/>
      </w:pPr>
      <w:r>
        <w:t>It does not measure the reliability of any third-party vendor UI.</w:t>
      </w:r>
    </w:p>
    <w:p>
      <w:pPr>
        <w:pStyle w:val="ListBullet"/>
      </w:pPr>
      <w:r>
        <w:t>It does not claim that screenshots or DOM fingerprints alone are sufficient safety mechanisms.</w:t>
      </w:r>
    </w:p>
    <w:p>
      <w:pPr>
        <w:pStyle w:val="ListBullet"/>
      </w:pPr>
      <w:r>
        <w:t>It does not claim that deterministic automation should replace LLM reasoning for novel, ambiguous, or high-risk work.</w:t>
      </w:r>
    </w:p>
    <w:p>
      <w:pPr>
        <w:pStyle w:val="ListBullet"/>
      </w:pPr>
      <w:r>
        <w:t>It does not claim a universal LLM-call avoidance or cost-reduction percentage.</w:t>
      </w:r>
    </w:p>
    <w:p>
      <w:pPr>
        <w:pStyle w:val="ListBullet"/>
      </w:pPr>
      <w:r>
        <w:t>It does not equate fewer model calls with higher intelligence.</w:t>
      </w:r>
    </w:p>
    <w:p>
      <w:pPr>
        <w:pStyle w:val="ListBullet"/>
      </w:pPr>
      <w:r>
        <w:t>It does not treat a browser click sequence as correct unless the intended business postcondition is verified.</w:t>
      </w:r>
    </w:p>
    <w:p>
      <w:pPr>
        <w:pStyle w:val="ListBullet"/>
      </w:pPr>
      <w:r>
        <w:t>It does not use the Naive architecture as a production recommendation.</w:t>
      </w:r>
    </w:p>
    <w:p>
      <w:pPr>
        <w:pStyle w:val="Heading1"/>
      </w:pPr>
      <w:r>
        <w:t>26. Experimental Integrity Rules</w:t>
      </w:r>
    </w:p>
    <w:p>
      <w:r>
        <w:t>The canonical evidence becomes immutable once frozen. If a defect is discovered before freeze, fix the implementation and rerun all affected architectures. If a defect is discovered after freeze, create a new experiment version and preserve the prior evidence.</w:t>
      </w:r>
    </w:p>
    <w:p>
      <w:r>
        <w:t>A version bump is required if any of the following materially changes: hypotheses, benchmark shape, ground truth, request ordering, V1/V2 drift, scoring, model configuration, pricing method, architecture semantics, validation rules, or economics calculation.</w:t>
      </w:r>
    </w:p>
    <w:p>
      <w:r>
        <w:t>Do not tune the workload after observing which architecture wins. Do not remove failures because they are inconvenient. Do not replace raw-ledger evidence with summary output.</w:t>
      </w:r>
    </w:p>
    <w:p>
      <w:pPr>
        <w:pStyle w:val="Heading1"/>
      </w:pPr>
      <w:r>
        <w:t>27. Planned Companion Repository</w:t>
      </w:r>
    </w:p>
    <w:p>
      <w:pPr>
        <w:spacing w:before="80" w:after="140"/>
        <w:ind w:left="317" w:right="72"/>
        <w:shd w:fill="F3F7FA"/>
        <w:pBdr>
          <w:left w:val="single" w:sz="24" w:color="0EA5E9"/>
          <w:top w:val="single" w:sz="4" w:color="C8DDEA"/>
          <w:bottom w:val="single" w:sz="4" w:color="C8DDEA"/>
        </w:pBdr>
      </w:pPr>
      <w:r>
        <w:rPr>
          <w:rFonts w:ascii="Consolas" w:hAnsi="Consolas"/>
          <w:sz w:val="16"/>
        </w:rPr>
        <w:t>smart-ai-agents/</w:t>
        <w:br/>
        <w:t xml:space="preserve">  chapter-07-deterministic-computer-use-agents/</w:t>
        <w:br/>
        <w:t xml:space="preserve">    README.md</w:t>
        <w:br/>
        <w:t xml:space="preserve">    pyproject.toml</w:t>
        <w:br/>
        <w:t xml:space="preserve">    src/</w:t>
        <w:br/>
        <w:t xml:space="preserve">      agents/</w:t>
        <w:br/>
        <w:t xml:space="preserve">      browser/</w:t>
        <w:br/>
        <w:t xml:space="preserve">      capabilities/</w:t>
        <w:br/>
        <w:t xml:space="preserve">      portal/</w:t>
        <w:br/>
        <w:t xml:space="preserve">      validation/</w:t>
        <w:br/>
        <w:t xml:space="preserve">      benchmark/</w:t>
        <w:br/>
        <w:t xml:space="preserve">    tests/</w:t>
        <w:br/>
        <w:t xml:space="preserve">    workloads/</w:t>
        <w:br/>
        <w:t xml:space="preserve">    evidence/</w:t>
        <w:br/>
        <w:t xml:space="preserve">    scripts/</w:t>
      </w:r>
    </w:p>
    <w:p>
      <w:r>
        <w:t>The exact public folder name may be frozen when implementation begins, but once published it should remain stable because the book and EPUB will link directly to it.</w:t>
      </w:r>
    </w:p>
    <w:p>
      <w:pPr>
        <w:pStyle w:val="Heading1"/>
      </w:pPr>
      <w:r>
        <w:t>28. Implementation Sequence</w:t>
      </w:r>
    </w:p>
    <w:p>
      <w:pPr>
        <w:pStyle w:val="ListNumber"/>
      </w:pPr>
      <w:r>
        <w:t>Build the deterministic HarborPoint portal simulator with V1 and V2 contracts.</w:t>
      </w:r>
    </w:p>
    <w:p>
      <w:pPr>
        <w:pStyle w:val="ListNumber"/>
      </w:pPr>
      <w:r>
        <w:t>Implement authoritative business-state ground truth and postcondition validators.</w:t>
      </w:r>
    </w:p>
    <w:p>
      <w:pPr>
        <w:pStyle w:val="ListNumber"/>
      </w:pPr>
      <w:r>
        <w:t>Implement Baseline LLM planner plus deterministic plan validator/executor.</w:t>
      </w:r>
    </w:p>
    <w:p>
      <w:pPr>
        <w:pStyle w:val="ListNumber"/>
      </w:pPr>
      <w:r>
        <w:t>Implement Smart executable UI capability registry and compatibility gates.</w:t>
      </w:r>
    </w:p>
    <w:p>
      <w:pPr>
        <w:pStyle w:val="ListNumber"/>
      </w:pPr>
      <w:r>
        <w:t>Implement selective invalidation and failure-triggered relearning.</w:t>
      </w:r>
    </w:p>
    <w:p>
      <w:pPr>
        <w:pStyle w:val="ListNumber"/>
      </w:pPr>
      <w:r>
        <w:t>Implement deliberately unsafe Naive replay path without Smart validation protections.</w:t>
      </w:r>
    </w:p>
    <w:p>
      <w:pPr>
        <w:pStyle w:val="ListNumber"/>
      </w:pPr>
      <w:r>
        <w:t>Create and freeze the 150-request workload and separate demo workload.</w:t>
      </w:r>
    </w:p>
    <w:p>
      <w:pPr>
        <w:pStyle w:val="ListNumber"/>
      </w:pPr>
      <w:r>
        <w:t>Run local tests and replay tests until architecture semantics are stable.</w:t>
      </w:r>
    </w:p>
    <w:p>
      <w:pPr>
        <w:pStyle w:val="ListNumber"/>
      </w:pPr>
      <w:r>
        <w:t>Run the canonical real-model benchmark once the specification and code are frozen.</w:t>
      </w:r>
    </w:p>
    <w:p>
      <w:pPr>
        <w:pStyle w:val="ListNumber"/>
      </w:pPr>
      <w:r>
        <w:t>Generate raw evidence, independent audit, hashes, and frozen evidence ZIP.</w:t>
      </w:r>
    </w:p>
    <w:p>
      <w:pPr>
        <w:pStyle w:val="ListNumber"/>
      </w:pPr>
      <w:r>
        <w:t>Only then write Chapter 7 Draft 1.0 from measured results.</w:t>
      </w:r>
    </w:p>
    <w:p>
      <w:pPr>
        <w:pStyle w:val="Heading1"/>
      </w:pPr>
      <w:r>
        <w:t>29. Planned Chapter Narrative After Evidence Freeze</w:t>
      </w:r>
    </w:p>
    <w:p>
      <w:r>
        <w:t>The final prose should follow the same progression used successfully in the preceding evidence-driven chapters:</w:t>
      </w:r>
    </w:p>
    <w:tbl>
      <w:tblPr>
        <w:tblStyle w:val="TableGrid"/>
        <w:tblW w:type="auto" w:w="0"/>
        <w:jc w:val="center"/>
        <w:tblLook w:firstColumn="1" w:firstRow="1" w:lastColumn="0" w:lastRow="0" w:noHBand="0" w:noVBand="1" w:val="04A0"/>
      </w:tblPr>
      <w:tblGrid>
        <w:gridCol w:w="4997"/>
        <w:gridCol w:w="4997"/>
      </w:tblGrid>
      <w:tr>
        <w:tc>
          <w:tcPr>
            <w:tcW w:type="dxa" w:w="2376"/>
            <w:vAlign w:val="center"/>
            <w:shd w:fill="0B2F57"/>
          </w:tcPr>
          <w:p>
            <w:r>
              <w:rPr>
                <w:b/>
                <w:color w:val="FFFFFF"/>
                <w:sz w:val="17"/>
              </w:rPr>
              <w:t>Narrative Stage</w:t>
            </w:r>
          </w:p>
        </w:tc>
        <w:tc>
          <w:tcPr>
            <w:tcW w:type="dxa" w:w="7416"/>
            <w:vAlign w:val="center"/>
            <w:shd w:fill="0B2F57"/>
          </w:tcPr>
          <w:p>
            <w:r>
              <w:rPr>
                <w:b/>
                <w:color w:val="FFFFFF"/>
                <w:sz w:val="17"/>
              </w:rPr>
              <w:t>Chapter 7 Purpose</w:t>
            </w:r>
          </w:p>
        </w:tc>
      </w:tr>
      <w:tr>
        <w:tc>
          <w:tcPr>
            <w:tcW w:type="dxa" w:w="2376"/>
            <w:vAlign w:val="center"/>
          </w:tcPr>
          <w:p>
            <w:pPr>
              <w:spacing w:after="0"/>
            </w:pPr>
            <w:r>
              <w:rPr>
                <w:sz w:val="17"/>
              </w:rPr>
              <w:t>The Problem</w:t>
            </w:r>
          </w:p>
        </w:tc>
        <w:tc>
          <w:tcPr>
            <w:tcW w:type="dxa" w:w="7416"/>
            <w:vAlign w:val="center"/>
          </w:tcPr>
          <w:p>
            <w:pPr>
              <w:spacing w:after="0"/>
            </w:pPr>
            <w:r>
              <w:rPr>
                <w:sz w:val="17"/>
              </w:rPr>
              <w:t>Show why repeated visual/browser reasoning is wasteful.</w:t>
            </w:r>
          </w:p>
        </w:tc>
      </w:tr>
      <w:tr>
        <w:tc>
          <w:tcPr>
            <w:tcW w:type="dxa" w:w="2376"/>
            <w:vAlign w:val="center"/>
          </w:tcPr>
          <w:p>
            <w:pPr>
              <w:spacing w:after="0"/>
            </w:pPr>
            <w:r>
              <w:rPr>
                <w:sz w:val="17"/>
              </w:rPr>
              <w:t>The Smart Pattern</w:t>
            </w:r>
          </w:p>
        </w:tc>
        <w:tc>
          <w:tcPr>
            <w:tcW w:type="dxa" w:w="7416"/>
            <w:vAlign w:val="center"/>
          </w:tcPr>
          <w:p>
            <w:pPr>
              <w:spacing w:after="0"/>
            </w:pPr>
            <w:r>
              <w:rPr>
                <w:sz w:val="17"/>
              </w:rPr>
              <w:t>Introduce executable UI capabilities and safe reuse.</w:t>
            </w:r>
          </w:p>
        </w:tc>
      </w:tr>
      <w:tr>
        <w:tc>
          <w:tcPr>
            <w:tcW w:type="dxa" w:w="2376"/>
            <w:vAlign w:val="center"/>
          </w:tcPr>
          <w:p>
            <w:pPr>
              <w:spacing w:after="0"/>
            </w:pPr>
            <w:r>
              <w:rPr>
                <w:sz w:val="17"/>
              </w:rPr>
              <w:t>Working Implementation</w:t>
            </w:r>
          </w:p>
        </w:tc>
        <w:tc>
          <w:tcPr>
            <w:tcW w:type="dxa" w:w="7416"/>
            <w:vAlign w:val="center"/>
          </w:tcPr>
          <w:p>
            <w:pPr>
              <w:spacing w:after="0"/>
            </w:pPr>
            <w:r>
              <w:rPr>
                <w:sz w:val="17"/>
              </w:rPr>
              <w:t>Walk through Baseline and Smart browser execution.</w:t>
            </w:r>
          </w:p>
        </w:tc>
      </w:tr>
      <w:tr>
        <w:tc>
          <w:tcPr>
            <w:tcW w:type="dxa" w:w="2376"/>
            <w:vAlign w:val="center"/>
          </w:tcPr>
          <w:p>
            <w:pPr>
              <w:spacing w:after="0"/>
            </w:pPr>
            <w:r>
              <w:rPr>
                <w:sz w:val="17"/>
              </w:rPr>
              <w:t>Break It</w:t>
            </w:r>
          </w:p>
        </w:tc>
        <w:tc>
          <w:tcPr>
            <w:tcW w:type="dxa" w:w="7416"/>
            <w:vAlign w:val="center"/>
          </w:tcPr>
          <w:p>
            <w:pPr>
              <w:spacing w:after="0"/>
            </w:pPr>
            <w:r>
              <w:rPr>
                <w:sz w:val="17"/>
              </w:rPr>
              <w:t>Activate V2 UI drift and show why old automation becomes unsafe.</w:t>
            </w:r>
          </w:p>
        </w:tc>
      </w:tr>
      <w:tr>
        <w:tc>
          <w:tcPr>
            <w:tcW w:type="dxa" w:w="2376"/>
            <w:vAlign w:val="center"/>
          </w:tcPr>
          <w:p>
            <w:pPr>
              <w:spacing w:after="0"/>
            </w:pPr>
            <w:r>
              <w:rPr>
                <w:sz w:val="17"/>
              </w:rPr>
              <w:t>Self-Recovery</w:t>
            </w:r>
          </w:p>
        </w:tc>
        <w:tc>
          <w:tcPr>
            <w:tcW w:type="dxa" w:w="7416"/>
            <w:vAlign w:val="center"/>
          </w:tcPr>
          <w:p>
            <w:pPr>
              <w:spacing w:after="0"/>
            </w:pPr>
            <w:r>
              <w:rPr>
                <w:sz w:val="17"/>
              </w:rPr>
              <w:t>Demonstrate selective invalidation and failure-triggered relearning.</w:t>
            </w:r>
          </w:p>
        </w:tc>
      </w:tr>
      <w:tr>
        <w:tc>
          <w:tcPr>
            <w:tcW w:type="dxa" w:w="2376"/>
            <w:vAlign w:val="center"/>
          </w:tcPr>
          <w:p>
            <w:pPr>
              <w:spacing w:after="0"/>
            </w:pPr>
            <w:r>
              <w:rPr>
                <w:sz w:val="17"/>
              </w:rPr>
              <w:t>Naive Counterexample</w:t>
            </w:r>
          </w:p>
        </w:tc>
        <w:tc>
          <w:tcPr>
            <w:tcW w:type="dxa" w:w="7416"/>
            <w:vAlign w:val="center"/>
          </w:tcPr>
          <w:p>
            <w:pPr>
              <w:spacing w:after="0"/>
            </w:pPr>
            <w:r>
              <w:rPr>
                <w:sz w:val="17"/>
              </w:rPr>
              <w:t>Show why blind replay can be cheaper yet wrong.</w:t>
            </w:r>
          </w:p>
        </w:tc>
      </w:tr>
      <w:tr>
        <w:tc>
          <w:tcPr>
            <w:tcW w:type="dxa" w:w="2376"/>
            <w:vAlign w:val="center"/>
          </w:tcPr>
          <w:p>
            <w:pPr>
              <w:spacing w:after="0"/>
            </w:pPr>
            <w:r>
              <w:rPr>
                <w:sz w:val="17"/>
              </w:rPr>
              <w:t>Benchmark</w:t>
            </w:r>
          </w:p>
        </w:tc>
        <w:tc>
          <w:tcPr>
            <w:tcW w:type="dxa" w:w="7416"/>
            <w:vAlign w:val="center"/>
          </w:tcPr>
          <w:p>
            <w:pPr>
              <w:spacing w:after="0"/>
            </w:pPr>
            <w:r>
              <w:rPr>
                <w:sz w:val="17"/>
              </w:rPr>
              <w:t>Present the real 150-request evidence.</w:t>
            </w:r>
          </w:p>
        </w:tc>
      </w:tr>
      <w:tr>
        <w:tc>
          <w:tcPr>
            <w:tcW w:type="dxa" w:w="2376"/>
            <w:vAlign w:val="center"/>
          </w:tcPr>
          <w:p>
            <w:pPr>
              <w:spacing w:after="0"/>
            </w:pPr>
            <w:r>
              <w:rPr>
                <w:sz w:val="17"/>
              </w:rPr>
              <w:t>Economics</w:t>
            </w:r>
          </w:p>
        </w:tc>
        <w:tc>
          <w:tcPr>
            <w:tcW w:type="dxa" w:w="7416"/>
            <w:vAlign w:val="center"/>
          </w:tcPr>
          <w:p>
            <w:pPr>
              <w:spacing w:after="0"/>
            </w:pPr>
            <w:r>
              <w:rPr>
                <w:sz w:val="17"/>
              </w:rPr>
              <w:t>Calculate measured savings with explicit scope qualification.</w:t>
            </w:r>
          </w:p>
        </w:tc>
      </w:tr>
      <w:tr>
        <w:tc>
          <w:tcPr>
            <w:tcW w:type="dxa" w:w="2376"/>
            <w:vAlign w:val="center"/>
          </w:tcPr>
          <w:p>
            <w:pPr>
              <w:spacing w:after="0"/>
            </w:pPr>
            <w:r>
              <w:rPr>
                <w:sz w:val="17"/>
              </w:rPr>
              <w:t>Production Guidance</w:t>
            </w:r>
          </w:p>
        </w:tc>
        <w:tc>
          <w:tcPr>
            <w:tcW w:type="dxa" w:w="7416"/>
            <w:vAlign w:val="center"/>
          </w:tcPr>
          <w:p>
            <w:pPr>
              <w:spacing w:after="0"/>
            </w:pPr>
            <w:r>
              <w:rPr>
                <w:sz w:val="17"/>
              </w:rPr>
              <w:t>Define when computer-use knowledge should and should not become software.</w:t>
            </w:r>
          </w:p>
        </w:tc>
      </w:tr>
    </w:tbl>
    <w:p>
      <w:pPr>
        <w:spacing w:after="40"/>
      </w:pPr>
    </w:p>
    <w:p>
      <w:pPr>
        <w:pStyle w:val="Heading1"/>
      </w:pPr>
      <w:r>
        <w:t>30. Decision Gate Before Canonical Benchmark</w:t>
      </w:r>
    </w:p>
    <w:p>
      <w:r>
        <w:t>Do not run the canonical 150-request benchmark until all of the following are true:</w:t>
      </w:r>
    </w:p>
    <w:p>
      <w:pPr>
        <w:pStyle w:val="ListBullet"/>
      </w:pPr>
      <w:r>
        <w:t>V1 and V2 portal behavior is frozen.</w:t>
      </w:r>
    </w:p>
    <w:p>
      <w:pPr>
        <w:pStyle w:val="ListBullet"/>
      </w:pPr>
      <w:r>
        <w:t>The six operation families and ground-truth validators are frozen.</w:t>
      </w:r>
    </w:p>
    <w:p>
      <w:pPr>
        <w:pStyle w:val="ListBullet"/>
      </w:pPr>
      <w:r>
        <w:t>The 150-request workload is frozen and hashed.</w:t>
      </w:r>
    </w:p>
    <w:p>
      <w:pPr>
        <w:pStyle w:val="ListBullet"/>
      </w:pPr>
      <w:r>
        <w:t>Baseline, Smart, and Naive architecture semantics match this specification.</w:t>
      </w:r>
    </w:p>
    <w:p>
      <w:pPr>
        <w:pStyle w:val="ListBullet"/>
      </w:pPr>
      <w:r>
        <w:t>All deterministic tests pass.</w:t>
      </w:r>
    </w:p>
    <w:p>
      <w:pPr>
        <w:pStyle w:val="ListBullet"/>
      </w:pPr>
      <w:r>
        <w:t>The real-model planner schema is stable.</w:t>
      </w:r>
    </w:p>
    <w:p>
      <w:pPr>
        <w:pStyle w:val="ListBullet"/>
      </w:pPr>
      <w:r>
        <w:t>Model configuration and benchmark pricing are pinned in the manifest.</w:t>
      </w:r>
    </w:p>
    <w:p>
      <w:pPr>
        <w:pStyle w:val="ListBullet"/>
      </w:pPr>
      <w:r>
        <w:t>The audit script independently reproduces metrics from a synthetic/local dry run.</w:t>
      </w:r>
    </w:p>
    <w:p>
      <w:pPr>
        <w:pStyle w:val="ListBullet"/>
      </w:pPr>
      <w:r>
        <w:t>Evidence output paths and SHA-256 freeze procedure are ready.</w:t>
      </w:r>
    </w:p>
    <w:p>
      <w:pPr>
        <w:pStyle w:val="Heading1"/>
      </w:pPr>
      <w:r>
        <w:t>31. Definition of Success</w:t>
      </w:r>
    </w:p>
    <w:p>
      <w:r>
        <w:t>Chapter 7 is experimentally successful even if the Smart architecture does not produce a dramatic savings percentage. The experiment succeeds if it gives us a reproducible, auditable answer about when learned computer-use behavior can safely become deterministic software and what happens when the interface changes.</w:t>
      </w:r>
    </w:p>
    <w:p>
      <w:r>
        <w:t>The benchmark is not designed to prove that Smart always wins. It is designed to measure the tradeoff among repeated reasoning, validated reuse, blind replay, correctness, recovery, latency, and cost.</w:t>
      </w:r>
    </w:p>
    <w:p>
      <w:pPr>
        <w:spacing w:before="80" w:after="140"/>
        <w:ind w:left="317" w:right="72"/>
        <w:shd w:fill="F3F7FA"/>
        <w:pBdr>
          <w:left w:val="single" w:sz="24" w:color="0EA5E9"/>
          <w:top w:val="single" w:sz="4" w:color="C8DDEA"/>
          <w:bottom w:val="single" w:sz="4" w:color="C8DDEA"/>
        </w:pBdr>
      </w:pPr>
      <w:r>
        <w:rPr>
          <w:rFonts w:ascii="Consolas" w:hAnsi="Consolas"/>
          <w:sz w:val="16"/>
        </w:rPr>
        <w:t>The book claim must follow the evidence.</w:t>
        <w:br/>
        <w:t>The evidence must not be engineered to follow the book claim.</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46E"/>
        <w:sz w:val="16"/>
      </w:rPr>
      <w:t>Chapter 7 Experimental Specification v1.0 | Evidence-First Benchmark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B2F57"/>
        <w:sz w:val="16"/>
      </w:rPr>
      <w:t>SMART AI AGENTS | CHAPTER 7 EXPERIMENTAL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2F5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5EA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2F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2F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