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A1C34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CF5224"/>
                <w:sz w:val="17"/>
              </w:rPr>
              <w:t>MÓDULO ESTRATÉGICO ACADÉMICO | SEGUROS DEL ESTADO &amp; MANTO 2.0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32"/>
              </w:rPr>
              <w:t>IA y el Proceso de Diseño en el Sector Asegurador</w:t>
            </w:r>
          </w:p>
          <w:p>
            <w:pPr>
              <w:spacing w:after="0"/>
            </w:pPr>
            <w:r>
              <w:rPr>
                <w:rFonts w:ascii="Arial" w:hAnsi="Arial"/>
                <w:i/>
                <w:color w:val="CBD5E1"/>
                <w:sz w:val="19"/>
              </w:rPr>
              <w:t>Respuestas Ejecutivas — Límite de 300 Palabras (Conteo: 249 palabras)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color w:val="CF5224"/>
          <w:sz w:val="23"/>
        </w:rPr>
        <w:t xml:space="preserve">1. </w:t>
      </w:r>
      <w:r>
        <w:rPr>
          <w:rFonts w:ascii="Arial" w:hAnsi="Arial"/>
          <w:b/>
          <w:color w:val="0A1C34"/>
          <w:sz w:val="23"/>
        </w:rPr>
        <w:t>Contexto: Sector Asegurador, Seguros del Estado y Gerencia de Transformación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F2937"/>
          <w:sz w:val="20"/>
        </w:rPr>
        <w:t>El sector asegurador colombiano, regulado por la SFC y agremiado en Fasecolda, avanza hacia la digitalización, inclusión y cierre de brechas de cobertura. Seguros del Estado es una aseguradora multirramo 100% colombiana, líder en cumplimiento y responsabilidad civil. Su Gerencia de Productividad y Transformación de Procesos lidera la optimización operativa, eliminando fricciones burocráticas mediante rediseño de procesos punta a punta, automatización inteligente y agilidad para elevar la competitividad institucional.</w:t>
      </w:r>
    </w:p>
    <w:p>
      <w:pPr>
        <w:spacing w:before="200" w:after="80"/>
      </w:pPr>
      <w:r>
        <w:rPr>
          <w:rFonts w:ascii="Arial" w:hAnsi="Arial"/>
          <w:b/>
          <w:color w:val="CF5224"/>
          <w:sz w:val="23"/>
        </w:rPr>
        <w:t xml:space="preserve">2. </w:t>
      </w:r>
      <w:r>
        <w:rPr>
          <w:rFonts w:ascii="Arial" w:hAnsi="Arial"/>
          <w:b/>
          <w:color w:val="0A1C34"/>
          <w:sz w:val="23"/>
        </w:rPr>
        <w:t>Descripción: Proceso de Diseño de Nuevos Productos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F2937"/>
          <w:sz w:val="20"/>
        </w:rPr>
        <w:t>Debe estructurarse como un modelo ágil, customer-centric y modular: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Interdisciplinario: </w:t>
      </w:r>
      <w:r>
        <w:rPr>
          <w:rFonts w:ascii="Arial" w:hAnsi="Arial"/>
          <w:b w:val="0"/>
          <w:i w:val="0"/>
          <w:color w:val="1F2937"/>
          <w:sz w:val="20"/>
        </w:rPr>
        <w:t>Co-creación desde el día cero entre suscripción, actuaría, legal, UX y tecnología, rompiendo silos.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Customer-Centric y Ágil: </w:t>
      </w:r>
      <w:r>
        <w:rPr>
          <w:rFonts w:ascii="Arial" w:hAnsi="Arial"/>
          <w:b w:val="0"/>
          <w:i w:val="0"/>
          <w:color w:val="1F2937"/>
          <w:sz w:val="20"/>
        </w:rPr>
        <w:t>Enfoque Lean/Design Thinking, iterando prototipos rápidos y MVPs basados en dolores reales del asegurado.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Modular (Composable): </w:t>
      </w:r>
      <w:r>
        <w:rPr>
          <w:rFonts w:ascii="Arial" w:hAnsi="Arial"/>
          <w:b w:val="0"/>
          <w:i w:val="0"/>
          <w:color w:val="1F2937"/>
          <w:sz w:val="20"/>
        </w:rPr>
        <w:t>Coberturas desagregadas parametrizables mediante microservicios y APIs, permitiendo armar seguros a la medida del riesgo y presupuesto del cliente.</w:t>
      </w:r>
    </w:p>
    <w:p>
      <w:pPr>
        <w:spacing w:before="200" w:after="80"/>
      </w:pPr>
      <w:r>
        <w:rPr>
          <w:rFonts w:ascii="Arial" w:hAnsi="Arial"/>
          <w:b/>
          <w:color w:val="CF5224"/>
          <w:sz w:val="23"/>
        </w:rPr>
        <w:t xml:space="preserve">3. </w:t>
      </w:r>
      <w:r>
        <w:rPr>
          <w:rFonts w:ascii="Arial" w:hAnsi="Arial"/>
          <w:b/>
          <w:color w:val="0A1C34"/>
          <w:sz w:val="23"/>
        </w:rPr>
        <w:t>Integración con IA en MANTO: Eficiencia, Efectividad y Calidad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1F2937"/>
          <w:sz w:val="20"/>
        </w:rPr>
        <w:t>MANTO combina Inteligencia Artificial aplicada con gobernanza actuarial estricta: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Gemini Multimodal: </w:t>
      </w:r>
      <w:r>
        <w:rPr>
          <w:rFonts w:ascii="Arial" w:hAnsi="Arial"/>
          <w:b w:val="0"/>
          <w:i w:val="0"/>
          <w:color w:val="1F2937"/>
          <w:sz w:val="20"/>
        </w:rPr>
        <w:t>Clasificación fenotípica y biométrica de mascotas mediante visión artificial.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Nuquí: </w:t>
      </w:r>
      <w:r>
        <w:rPr>
          <w:rFonts w:ascii="Arial" w:hAnsi="Arial"/>
          <w:b w:val="0"/>
          <w:i w:val="0"/>
          <w:color w:val="1F2937"/>
          <w:sz w:val="20"/>
        </w:rPr>
        <w:t>Triaje conversacional y perfilamiento empático del usuario en lenguaje natural.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Sué con OCR DIAN: </w:t>
      </w:r>
      <w:r>
        <w:rPr>
          <w:rFonts w:ascii="Arial" w:hAnsi="Arial"/>
          <w:b w:val="0"/>
          <w:i w:val="0"/>
          <w:color w:val="1F2937"/>
          <w:sz w:val="20"/>
        </w:rPr>
        <w:t>Extracción de datos y validación antifraude con verificación CUFE para liquidación de reembolsos.</w:t>
      </w:r>
    </w:p>
    <w:p>
      <w:pPr>
        <w:spacing w:before="0" w:after="80" w:line="276" w:lineRule="auto"/>
        <w:ind w:left="288"/>
      </w:pPr>
      <w:r>
        <w:rPr>
          <w:rFonts w:ascii="Arial" w:hAnsi="Arial"/>
          <w:b/>
          <w:i w:val="0"/>
          <w:color w:val="1F2937"/>
          <w:sz w:val="20"/>
        </w:rPr>
        <w:t xml:space="preserve">• Motor Actuarial Determinista: </w:t>
      </w:r>
      <w:r>
        <w:rPr>
          <w:rFonts w:ascii="Arial" w:hAnsi="Arial"/>
          <w:b w:val="0"/>
          <w:i w:val="0"/>
          <w:color w:val="1F2937"/>
          <w:sz w:val="20"/>
        </w:rPr>
        <w:t>Reglas de negocio y tarificación 100% matemáticas del lado servidor, sin cajas negras de IA.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1F2937"/>
          <w:sz w:val="20"/>
        </w:rPr>
        <w:t xml:space="preserve">Impacto: </w:t>
      </w:r>
      <w:r>
        <w:rPr>
          <w:rFonts w:ascii="Arial" w:hAnsi="Arial"/>
          <w:b w:val="0"/>
          <w:i w:val="0"/>
          <w:color w:val="1F2937"/>
          <w:sz w:val="20"/>
        </w:rPr>
        <w:t xml:space="preserve">Maximiza la </w:t>
      </w:r>
      <w:r>
        <w:rPr>
          <w:rFonts w:ascii="Arial" w:hAnsi="Arial"/>
          <w:b/>
          <w:i w:val="0"/>
          <w:color w:val="1F2937"/>
          <w:sz w:val="20"/>
        </w:rPr>
        <w:t xml:space="preserve">eficiencia </w:t>
      </w:r>
      <w:r>
        <w:rPr>
          <w:rFonts w:ascii="Arial" w:hAnsi="Arial"/>
          <w:b w:val="0"/>
          <w:i w:val="0"/>
          <w:color w:val="1F2937"/>
          <w:sz w:val="20"/>
        </w:rPr>
        <w:t xml:space="preserve">(emisión y liquidación en minutos en vez de semanas), la </w:t>
      </w:r>
      <w:r>
        <w:rPr>
          <w:rFonts w:ascii="Arial" w:hAnsi="Arial"/>
          <w:b/>
          <w:i w:val="0"/>
          <w:color w:val="1F2937"/>
          <w:sz w:val="20"/>
        </w:rPr>
        <w:t xml:space="preserve">efectividad </w:t>
      </w:r>
      <w:r>
        <w:rPr>
          <w:rFonts w:ascii="Arial" w:hAnsi="Arial"/>
          <w:b w:val="0"/>
          <w:i w:val="0"/>
          <w:color w:val="1F2937"/>
          <w:sz w:val="20"/>
        </w:rPr>
        <w:t xml:space="preserve">(detección preventiva de fraude fiscal y tarificación precisa) y la </w:t>
      </w:r>
      <w:r>
        <w:rPr>
          <w:rFonts w:ascii="Arial" w:hAnsi="Arial"/>
          <w:b/>
          <w:i w:val="0"/>
          <w:color w:val="1F2937"/>
          <w:sz w:val="20"/>
        </w:rPr>
        <w:t xml:space="preserve">calidad </w:t>
      </w:r>
      <w:r>
        <w:rPr>
          <w:rFonts w:ascii="Arial" w:hAnsi="Arial"/>
          <w:b w:val="0"/>
          <w:i w:val="0"/>
          <w:color w:val="1F2937"/>
          <w:sz w:val="20"/>
        </w:rPr>
        <w:t>(experiencia fluida, transparente, hiperpersonalizada y auditable).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A1C34"/>
                <w:sz w:val="17"/>
              </w:rPr>
              <w:t xml:space="preserve">Gobernanza y Cumplimiento: </w:t>
            </w:r>
            <w:r>
              <w:rPr>
                <w:rFonts w:ascii="Arial" w:hAnsi="Arial"/>
                <w:color w:val="64748B"/>
                <w:sz w:val="17"/>
              </w:rPr>
              <w:t>Conforme a las directrices de la Superintendencia Financiera de Colombia (SFC), Circular Básica Jurídica, Ley 1581 de 2012 (Habeas Data) y principios de suscripción técnica actuarial sin sesgos algorítmicos. Total de palabras del cuerpo técnico: 249 palabras.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