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CF5224"/>
          <w:sz w:val="18"/>
        </w:rPr>
        <w:t>MANTO SEGUROS DIGITALES • DOCUMENTO MAESTRO ACTUARIAL Y TÉCNICO</w:t>
      </w:r>
    </w:p>
    <w:p>
      <w:pPr>
        <w:spacing w:after="120"/>
        <w:jc w:val="center"/>
      </w:pPr>
      <w:r>
        <w:rPr>
          <w:rFonts w:ascii="Arial" w:hAnsi="Arial"/>
          <w:b/>
          <w:color w:val="0A1C34"/>
          <w:sz w:val="40"/>
        </w:rPr>
        <w:t>MANUAL MAESTRO ACTUARIAL Y MATRIZ TÉCNICA DE TARIFICACIÓN V3</w:t>
      </w:r>
    </w:p>
    <w:p>
      <w:pPr>
        <w:spacing w:after="320"/>
        <w:jc w:val="center"/>
      </w:pPr>
      <w:r>
        <w:rPr>
          <w:rFonts w:ascii="Arial" w:hAnsi="Arial"/>
          <w:i/>
          <w:color w:val="4A5A6F"/>
          <w:sz w:val="22"/>
        </w:rPr>
        <w:t>Especificación Canónica del Motor de Pricing • Justificación Clínica de Coberturas • Ley 1801 (SMLMV 2026) • Matriz de Add-ons y Descuentos</w:t>
      </w:r>
    </w:p>
    <w:tbl>
      <w:tblPr>
        <w:tblW w:type="auto" w:w="0"/>
        <w:jc w:val="center"/>
        <w:tblLayout w:type="fixed"/>
        <w:tblLook w:firstColumn="1" w:firstRow="1" w:lastColumn="0" w:lastRow="0" w:noHBand="0" w:noVBand="1" w:val="04A0"/>
      </w:tblPr>
      <w:tblGrid>
        <w:gridCol w:w="2304"/>
        <w:gridCol w:w="2304"/>
        <w:gridCol w:w="2304"/>
        <w:gridCol w:w="2448"/>
      </w:tblGrid>
      <w:tr>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Versión: </w:t>
            </w:r>
            <w:r>
              <w:rPr>
                <w:b w:val="0"/>
                <w:color w:val="FFFFFF"/>
                <w:sz w:val="17"/>
              </w:rPr>
              <w:t>3.0.0-PROD</w:t>
            </w:r>
          </w:p>
        </w:tc>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Vigencia: </w:t>
            </w:r>
            <w:r>
              <w:rPr>
                <w:b w:val="0"/>
                <w:color w:val="FFFFFF"/>
                <w:sz w:val="17"/>
              </w:rPr>
              <w:t>2026 (Dec. 0159)</w:t>
            </w:r>
          </w:p>
        </w:tc>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Moneda Base: </w:t>
            </w:r>
            <w:r>
              <w:rPr>
                <w:b w:val="0"/>
                <w:color w:val="FFFFFF"/>
                <w:sz w:val="17"/>
              </w:rPr>
              <w:t>COP Entero (BigInt)</w:t>
            </w:r>
          </w:p>
        </w:tc>
        <w:tc>
          <w:tcPr>
            <w:tcW w:type="dxa" w:w="2448"/>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Actuario: </w:t>
            </w:r>
            <w:r>
              <w:rPr>
                <w:b w:val="0"/>
                <w:color w:val="FFFFFF"/>
                <w:sz w:val="17"/>
              </w:rPr>
              <w:t>manto-pricing</w:t>
            </w:r>
          </w:p>
        </w:tc>
      </w:tr>
    </w:tbl>
    <w:p>
      <w:pPr>
        <w:spacing w:after="240"/>
      </w:pPr>
    </w:p>
    <w:p>
      <w:pPr>
        <w:pStyle w:val="Heading1"/>
        <w:spacing w:before="280" w:after="120"/>
      </w:pPr>
      <w:r>
        <w:rPr>
          <w:rFonts w:ascii="Arial" w:hAnsi="Arial"/>
          <w:b/>
          <w:color w:val="0A1C34"/>
          <w:sz w:val="28"/>
        </w:rPr>
        <w:t>1. Doctrinas Actuariales Fundacionales de Manto 2.0</w:t>
      </w:r>
    </w:p>
    <w:p>
      <w:pPr>
        <w:spacing w:after="160"/>
      </w:pPr>
      <w:r>
        <w:rPr>
          <w:rFonts w:ascii="Arial" w:hAnsi="Arial"/>
          <w:sz w:val="19"/>
        </w:rPr>
        <w:t>El motor de tarificación de Manto 2.0 (Pricing Engine) está gobernado por cuatro principios técnicos inmutables diseñados para garantizar solvencia financiera, equidad contractual y cumplimiento regulatorio ante la Superintendencia Financiera de Colombia:</w:t>
        <w:br/>
        <w:br/>
        <w:t>1. Determinismo Absoluto (La IA Jamás Cotiza):</w:t>
        <w:br/>
        <w:t>Ningún modelo de lenguaje de gran escala (LLM como Google Gemini) ni algoritmo heurístico generativo posee atribuciones para calcular primas, establecer deducibles o autorizar pagos de siniestros. La IA en Manto opera única y exclusivamente como sensor de entrada estructurada (identificación visual de especie, raza fenotípica y extracción OCR de facturas DIAN y epicrisis). El cálculo de precios es 100% determinista, matemáticamente reproducible y ejecutado en el servidor bajo el servicio NestJS PricingService.</w:t>
        <w:br/>
        <w:br/>
        <w:t>2. Tipado Estricto Monetario (ColombianPeso / Cero Flotantes):</w:t>
        <w:br/>
        <w:t>Toda cifra dineraria se procesa en unidades monetarias enteras (COP) utilizando tipos fuertemente tipados (ColombianPeso / BigInt) con primitivas seguras toCop(), addCop() y multiplyCop(). Queda estrictamente prohibido el uso de números flotantes IEEE 754 para erradicar cualquier acumulación de errores de redondeo en operaciones financieras y prorrateos.</w:t>
        <w:br/>
        <w:br/>
        <w:t>3. Vinculación Canónica al SMLMV 2026 (Ley 1801 y Decreto 0159):</w:t>
        <w:br/>
        <w:t>El amparo legal de Responsabilidad Civil Extracontractual para razas de manejo especial se amarra formalmente al Salario Mínimo Legal Mensual Vigente fijado para 2026 en $1.750.905 COP, garantizando un límite exacto de $87.545.250 COP (50 SMLMV).</w:t>
        <w:br/>
        <w:br/>
        <w:t>4. Sincronización Estricta Deducible-Copago:</w:t>
        <w:br/>
        <w:t>El copago emitido en el contrato para coberturas de reembolso coincide de manera obligatoria y dinámica con el tramo de deducible contratado (10%, 15% o 20%), garantizando perfecta simetría entre el riesgo asumido por el tomador y la prima cobrada.</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24" w:space="0" w:color="0A1C34"/>
              <w:bottom w:val="none"/>
              <w:right w:val="none"/>
            </w:tcBorders>
          </w:tcPr>
          <w:p>
            <w:pPr>
              <w:spacing w:before="40" w:after="80"/>
            </w:pPr>
            <w:r>
              <w:rPr>
                <w:rFonts w:ascii="Arial" w:hAnsi="Arial"/>
                <w:b/>
                <w:color w:val="0A1C34"/>
                <w:sz w:val="20"/>
              </w:rPr>
              <w:t xml:space="preserve">⚖️ DESACOPLAMIENTO ACTUARIAL: </w:t>
            </w:r>
            <w:r>
              <w:rPr>
                <w:rFonts w:ascii="Arial" w:hAnsi="Arial"/>
                <w:color w:val="0A1C34"/>
                <w:sz w:val="19"/>
              </w:rPr>
              <w:t>La arquitectura del motor de tarificación desacopla la captura biomédica (Nuquí 🐾) de la lógica actuarial. Esto permite modificar tablas de mortalidad, factores de inflación médica y aranceles veterinarios sin alterar las interfaces del cliente.</w:t>
            </w:r>
          </w:p>
        </w:tc>
      </w:tr>
    </w:tbl>
    <w:p>
      <w:pPr>
        <w:spacing w:after="80"/>
      </w:pPr>
    </w:p>
    <w:p>
      <w:pPr>
        <w:pStyle w:val="Heading1"/>
        <w:spacing w:before="280" w:after="120"/>
      </w:pPr>
      <w:r>
        <w:rPr>
          <w:rFonts w:ascii="Arial" w:hAnsi="Arial"/>
          <w:b/>
          <w:color w:val="0A1C34"/>
          <w:sz w:val="28"/>
        </w:rPr>
        <w:t>2. Justificación Clínica y Actuarial del Plan Base Universal ($4.750.000 COP)</w:t>
      </w:r>
    </w:p>
    <w:p>
      <w:pPr>
        <w:spacing w:after="120"/>
      </w:pPr>
      <w:r>
        <w:rPr>
          <w:rFonts w:ascii="Arial" w:hAnsi="Arial"/>
          <w:sz w:val="19"/>
        </w:rPr>
        <w:t>Toda póliza de Manto 2.0 incluye de forma inherente un Plan Base Universal compuesto por tres amparos esenciales, calibrados con base en el análisis de costos hospitalarios reales en clínicas veterinarias de alta complejidad en Bogotá, Medellín y Cali:</w:t>
      </w:r>
    </w:p>
    <w:tbl>
      <w:tblPr>
        <w:tblW w:type="auto" w:w="0"/>
        <w:jc w:val="center"/>
        <w:tblLayout w:type="fixed"/>
        <w:tblLook w:firstColumn="1" w:firstRow="1" w:lastColumn="0" w:lastRow="0" w:noHBand="0" w:noVBand="1" w:val="04A0"/>
      </w:tblPr>
      <w:tblGrid>
        <w:gridCol w:w="2592"/>
        <w:gridCol w:w="1872"/>
        <w:gridCol w:w="1296"/>
        <w:gridCol w:w="1296"/>
        <w:gridCol w:w="2304"/>
      </w:tblGrid>
      <w:tr>
        <w:tc>
          <w:tcPr>
            <w:tcW w:type="dxa" w:w="259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Amparo Base Universal</w:t>
            </w:r>
          </w:p>
        </w:tc>
        <w:tc>
          <w:tcPr>
            <w:tcW w:type="dxa" w:w="187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Límite Anual Asegurado</w:t>
            </w:r>
          </w:p>
        </w:tc>
        <w:tc>
          <w:tcPr>
            <w:tcW w:type="dxa" w:w="1296"/>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Carencia</w:t>
            </w:r>
          </w:p>
        </w:tc>
        <w:tc>
          <w:tcPr>
            <w:tcW w:type="dxa" w:w="1296"/>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¿Copago?</w:t>
            </w:r>
          </w:p>
        </w:tc>
        <w:tc>
          <w:tcPr>
            <w:tcW w:type="dxa" w:w="2304"/>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Sustento Clínico Ponderado</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 Urgencias &amp; Hospitalización por Accidente</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$3.500.000 COP</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 días</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10/15/20%</w:t>
            </w:r>
          </w:p>
        </w:tc>
        <w:tc>
          <w:tcPr>
            <w:tcW w:type="dxa" w:w="230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Absorbe el 95.6% (P95) de costos por traumatismos severos, osteosíntesis y UCI.</w:t>
            </w:r>
          </w:p>
        </w:tc>
      </w:tr>
      <w:tr>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2. Consultas Médicas de Urgencia Presencial</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$450.000 COP</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2 días</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10/15/20%</w:t>
            </w:r>
          </w:p>
        </w:tc>
        <w:tc>
          <w:tcPr>
            <w:tcW w:type="dxa" w:w="230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3 eventos al año ($150.000 COP c/u). Distribución Poisson λ = 1.25 consultas/año.</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 Exámenes Diagnósticos de Choque</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$800.000 COP</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 días</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10/15/20%</w:t>
            </w:r>
          </w:p>
        </w:tc>
        <w:tc>
          <w:tcPr>
            <w:tcW w:type="dxa" w:w="230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Cubre Rx digital (3 vistas), ecografía FAST (A-FAST/T-FAST) y laboratorio de choque.</w:t>
            </w:r>
          </w:p>
        </w:tc>
      </w:tr>
    </w:tbl>
    <w:p>
      <w:pPr>
        <w:spacing w:after="160"/>
      </w:pPr>
    </w:p>
    <w:p>
      <w:pPr>
        <w:spacing w:after="160"/>
      </w:pPr>
      <w:r>
        <w:rPr>
          <w:rFonts w:ascii="Arial" w:hAnsi="Arial"/>
          <w:sz w:val="18"/>
        </w:rPr>
        <w:t>• Trauma Agudo y Cirugía Ortopédica: El análisis de severidad hospitalaria en clínicas como Dover o Kanicat indica que el costo medio de estabilización hemodinámica ($400k), osteosíntesis o laparotomía de choque ($1.9M), 3 días de UCI ($900k) y farmacia intrahospitalaria ($400k) alcanza los $3.420.000 COP en el percentil 95. El tope de $3.500.000 COP protege integralmente a la familia ante eventos catastróficos.</w:t>
        <w:br/>
        <w:t>• Diagnósticos Inmediatos de Choque: El límite de $800.000 COP permite practicar sin dilaciones el protocolo FAST ecográfico y radiológico necesario para definir la entrada a quirófano en minutos sin requerir autorizaciones telefónicas previas.</w:t>
      </w:r>
    </w:p>
    <w:p>
      <w:pPr>
        <w:pStyle w:val="Heading1"/>
        <w:spacing w:before="280" w:after="120"/>
      </w:pPr>
      <w:r>
        <w:rPr>
          <w:rFonts w:ascii="Arial" w:hAnsi="Arial"/>
          <w:b/>
          <w:color w:val="0A1C34"/>
          <w:sz w:val="28"/>
        </w:rPr>
        <w:t>3. Marco Normativo de Responsabilidad Civil (Ley 1801 y SMLMV 2026)</w:t>
      </w:r>
    </w:p>
    <w:p>
      <w:pPr>
        <w:spacing w:after="160"/>
      </w:pPr>
      <w:r>
        <w:rPr>
          <w:rFonts w:ascii="Arial" w:hAnsi="Arial"/>
          <w:sz w:val="19"/>
        </w:rPr>
        <w:t>El Artículo 127 de la Ley 1801 de 2016 (Código Nacional de Policía) estipula de forma imperativa que la póliza de Responsabilidad Civil Extracontractual para ejemplares caninos de manejo especial no podrá ser inferior a cincuenta (50) salarios mínimos legales mensuales vigentes.</w:t>
        <w:br/>
        <w:br/>
        <w:t>• Actualización Decreto 0159 del 19 de febrero de 2026: Fija transitoriamente el SMLMV en $1.750.905 COP.</w:t>
        <w:br/>
        <w:t>• Cálculo Obligatorio del Amparo: 50 × $1.750.905 = $87.545.250 COP exactos.</w:t>
        <w:br/>
        <w:br/>
        <w:t>Corrección del Déficit Histórico del Mercado:</w:t>
        <w:br/>
        <w:t>El mercado asegurador colombiano venía emitiendo pólizas con un valor desactualizado de $65.000.000 COP (50 SMLMV de 2024). En 2026, dicho monto representaba únicamente 37,1 SMLMV, configurando un déficit legal de 12,9 salarios mínimos ($22.545.250 COP) que exponía a los propietarios a sanciones policivas e invalidación del registro municipal. Manto 2.0 corrigió este déficit en código y emite el valor íntegro.</w:t>
        <w:br/>
        <w:br/>
        <w:t>Regla de Copago Cero para Terceros (0% Deducible):</w:t>
        <w:br/>
        <w:t>El amparo de RCE tiene copayApplies = false. La ley persigue la indemnización total de las víctimas por lesiones o daños materiales; imponer deducibles al tercero perjudicado violaría el orden público y generaría litigios residuales contra el titular.</w:t>
      </w:r>
    </w:p>
    <w:p>
      <w:pPr>
        <w:pStyle w:val="Heading1"/>
        <w:spacing w:before="280" w:after="120"/>
      </w:pPr>
      <w:r>
        <w:rPr>
          <w:rFonts w:ascii="Arial" w:hAnsi="Arial"/>
          <w:b/>
          <w:color w:val="0A1C34"/>
          <w:sz w:val="28"/>
        </w:rPr>
        <w:t>4. Catálogo Oficial de Razas de Manejo Especial (Ley 1801)</w:t>
      </w:r>
    </w:p>
    <w:p>
      <w:pPr>
        <w:spacing w:after="120"/>
      </w:pPr>
      <w:r>
        <w:rPr>
          <w:rFonts w:ascii="Arial" w:hAnsi="Arial"/>
          <w:sz w:val="19"/>
        </w:rPr>
        <w:t>Las siguientes 15 razas caninas (y sus cruces o híbridos) cuentan con inyección automática del amparo de RCE por $87.545.250 COP y registro de sublímites fenotípicos en el motor de tarificación:</w:t>
      </w:r>
    </w:p>
    <w:tbl>
      <w:tblPr>
        <w:tblW w:type="auto" w:w="0"/>
        <w:jc w:val="center"/>
        <w:tblLayout w:type="fixed"/>
        <w:tblLook w:firstColumn="1" w:firstRow="1" w:lastColumn="0" w:lastRow="0" w:noHBand="0" w:noVBand="1" w:val="04A0"/>
      </w:tblPr>
      <w:tblGrid>
        <w:gridCol w:w="576"/>
        <w:gridCol w:w="3024"/>
        <w:gridCol w:w="1440"/>
        <w:gridCol w:w="1296"/>
        <w:gridCol w:w="3024"/>
      </w:tblGrid>
      <w:tr>
        <w:tc>
          <w:tcPr>
            <w:tcW w:type="dxa" w:w="576"/>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w:t>
            </w:r>
          </w:p>
        </w:tc>
        <w:tc>
          <w:tcPr>
            <w:tcW w:type="dxa" w:w="3024"/>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Raza Canónica (Ley 1801)</w:t>
            </w:r>
          </w:p>
        </w:tc>
        <w:tc>
          <w:tcPr>
            <w:tcW w:type="dxa" w:w="144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Tamaño Típico</w:t>
            </w:r>
          </w:p>
        </w:tc>
        <w:tc>
          <w:tcPr>
            <w:tcW w:type="dxa" w:w="1296"/>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Factor Raza</w:t>
            </w:r>
          </w:p>
        </w:tc>
        <w:tc>
          <w:tcPr>
            <w:tcW w:type="dxa" w:w="3024"/>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Sublímite Clínico / Riesgo Fenotípico</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American Pit Bull Terrier</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MEDIUM</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1.25</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Displasia de cadera y luxación patelar.</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2</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American Staffordshire Terrier</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MEDIUM</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1.24</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Displasia coxofemoral y ataxia cerebelosa.</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Staffordshire Terrier</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MEDIUM</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1.24</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Cataratas hereditarias y aciduria L-2-HGA.</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4</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Bull Terrier</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MEDIUM</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1.22</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Nefrotoxicidad hereditaria y sordera congénita.</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5</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Bullmastiff</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GIANT</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1.28</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Torsión gástrica (GDV) y displasia articular severa.</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6</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Dóberman</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LARGE</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1.22</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Cardiomiopatía dilatada (DCM) y espondilomielopatía.</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7</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Dogo Argentino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LARGE</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1.26</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Displasia coxofemoral y sordera neurosensorial.</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8</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Dogo de Burdeos</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GIANT</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1.30</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Estenosis aórtica, dilatación gástrica y ectropión.</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9</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Fila Brasileiro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GIANT</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1.28</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Torsión gástrica y displasia coxofemoral y de codo.</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Mastín Napolitano</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GIANT</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1.30</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Prolapso glándula nictitante y displasia articular.</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11</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Presa Canario / Dogo Canario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LARGE</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1.28</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Displasia de cadera/codo y osteocondritis disecante.</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Rottweiler</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LARGE</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1.28</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Osteosarcoma, estenosis subaórtica y displasia.</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13</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Tosa Japonés / Tosa Inu</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GIANT</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1.28</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Dilatación-torsión gástrica y displasia coxofemoral.</w:t>
            </w:r>
          </w:p>
        </w:tc>
      </w:tr>
      <w:tr>
        <w:tc>
          <w:tcPr>
            <w:tcW w:type="dxa" w:w="57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14</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American Bully</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MEDIUM</w:t>
            </w:r>
          </w:p>
        </w:tc>
        <w:tc>
          <w:tcPr>
            <w:tcW w:type="dxa" w:w="129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1.25</w:t>
            </w:r>
          </w:p>
        </w:tc>
        <w:tc>
          <w:tcPr>
            <w:tcW w:type="dxa" w:w="302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Síndrome braquiocefálico y displasia articular.</w:t>
            </w:r>
          </w:p>
        </w:tc>
      </w:tr>
      <w:tr>
        <w:tc>
          <w:tcPr>
            <w:tcW w:type="dxa" w:w="57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15</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Cane Corso / Mastín Italiano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LARGE</w:t>
            </w:r>
          </w:p>
        </w:tc>
        <w:tc>
          <w:tcPr>
            <w:tcW w:type="dxa" w:w="129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1.26</w:t>
            </w:r>
          </w:p>
        </w:tc>
        <w:tc>
          <w:tcPr>
            <w:tcW w:type="dxa" w:w="302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Ectropión/entropión, displasia y torsión gástrica.</w:t>
            </w:r>
          </w:p>
        </w:tc>
      </w:tr>
    </w:tbl>
    <w:p>
      <w:pPr>
        <w:spacing w:after="160"/>
      </w:pPr>
    </w:p>
    <w:p>
      <w:pPr>
        <w:pStyle w:val="Heading1"/>
        <w:spacing w:before="280" w:after="120"/>
      </w:pPr>
      <w:r>
        <w:rPr>
          <w:rFonts w:ascii="Arial" w:hAnsi="Arial"/>
          <w:b/>
          <w:color w:val="0A1C34"/>
          <w:sz w:val="28"/>
        </w:rPr>
        <w:t>5. Algoritmo Actuarial y Matrices de Factores Multiplicadores</w:t>
      </w:r>
    </w:p>
    <w:p>
      <w:pPr>
        <w:spacing w:after="160"/>
      </w:pPr>
      <w:r>
        <w:rPr>
          <w:rFonts w:ascii="Arial" w:hAnsi="Arial"/>
          <w:sz w:val="19"/>
        </w:rPr>
        <w:t>Fórmula de Cálculo Determinista:</w:t>
        <w:br/>
        <w:t>PrimaBaseCOP = round( BaseNominal × F(especie) × F(raza) × F(tamaño) × F(sexo) × F(edad) × F(ubicación) × F(deducible) × (1 - D(multimascota)) )</w:t>
        <w:br/>
        <w:t>PrimaMensualFinalCOP = PrimaBaseCOP + ∑ AddonsMensuales</w:t>
        <w:br/>
        <w:t>PrimaAnualFinalCOP = round( PrimaMensualFinalCOP × 11 )   (11 meses = 1 mes gratis por pago anticipado)</w:t>
      </w:r>
    </w:p>
    <w:tbl>
      <w:tblPr>
        <w:tblW w:type="auto" w:w="0"/>
        <w:jc w:val="center"/>
        <w:tblLayout w:type="fixed"/>
        <w:tblLook w:firstColumn="1" w:firstRow="1" w:lastColumn="0" w:lastRow="0" w:noHBand="0" w:noVBand="1" w:val="04A0"/>
      </w:tblPr>
      <w:tblGrid>
        <w:gridCol w:w="2160"/>
        <w:gridCol w:w="2592"/>
        <w:gridCol w:w="1440"/>
        <w:gridCol w:w="3168"/>
      </w:tblGrid>
      <w:tr>
        <w:tc>
          <w:tcPr>
            <w:tcW w:type="dxa" w:w="216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Variable Actuarial</w:t>
            </w:r>
          </w:p>
        </w:tc>
        <w:tc>
          <w:tcPr>
            <w:tcW w:type="dxa" w:w="259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Categoría / Tramo</w:t>
            </w:r>
          </w:p>
        </w:tc>
        <w:tc>
          <w:tcPr>
            <w:tcW w:type="dxa" w:w="144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Factor</w:t>
            </w:r>
          </w:p>
        </w:tc>
        <w:tc>
          <w:tcPr>
            <w:tcW w:type="dxa" w:w="316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Fundamento Actuarial</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Tasa Base Pura</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Base de tarificación</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$30.000 COP</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Tarifa de arranque estándar mensual.</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Especie</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Canino (CANINE)</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Línea base estándar.</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Especie</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Felino (FELINE)</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0.92</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Menor exposición a trauma vial y vida intradomiciliaria.</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Tamaño Efectivo</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Toy (≤ 5 kg)</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0.92</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Menor dosimetría anestésica y fármacos por peso.</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Tamaño Efectivo</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Small (5 - 10 kg)</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0.96</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Riesgo estándar bajo.</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Tamaño Efectivo</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Medium (10 - 25 kg)</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Línea base neutra.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Tamaño Efectivo</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Large (25 - 45 kg)</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1.08</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Mayor costo quirúrgico y predisposición articular.</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Tamaño Efectivo</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Giant (&gt; 45 kg)</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1.18</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Alta dosimetría, riesgo de GDV y corta esperanza de vida.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Sexo</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Macho (MALE)</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1.03</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Mayor prevalencia de trauma por conducta y patología prostática.</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Sexo</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Hembra (FEMALE)</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Línea base neutra.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2 a 12 meses (Cachorro/Gatito)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0.95</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Buena respuesta biológica y bajo riesgo degenerativo.</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13 a 36 meses (Adulto Joven)</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Línea base neutra.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37 a 72 meses (Adulto Pleno)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1.10</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Aparición de afecciones crónicas iniciales.</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73 a 96 meses (Adulto Maduro)</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1.30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Frecuencia creciente de consultas y estudios.</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97 a 120 meses (Senior)</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1.60</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Alta frecuencia de patologías degenerativas.</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Edad en Meses</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121 a 144 meses (Geriátrico)</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1.90</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Tope máximo de edad admitido para nuevo ingreso.</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Ubicación</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Bogotá D.C.</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1.08</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Aranceles veterinarios más altos del país.</w:t>
            </w:r>
          </w:p>
        </w:tc>
      </w:tr>
    </w:tbl>
    <w:p>
      <w:pPr>
        <w:spacing w:after="160"/>
      </w:pPr>
    </w:p>
    <w:p>
      <w:pPr>
        <w:pStyle w:val="Heading1"/>
        <w:spacing w:before="280" w:after="120"/>
      </w:pPr>
      <w:r>
        <w:rPr>
          <w:rFonts w:ascii="Arial" w:hAnsi="Arial"/>
          <w:b/>
          <w:color w:val="0A1C34"/>
          <w:sz w:val="28"/>
        </w:rPr>
        <w:t>6. Matriz Completa de Add-ons y Reglas de Interacción de Copago</w:t>
      </w:r>
    </w:p>
    <w:tbl>
      <w:tblPr>
        <w:tblW w:type="auto" w:w="0"/>
        <w:jc w:val="center"/>
        <w:tblLayout w:type="fixed"/>
        <w:tblLook w:firstColumn="1" w:firstRow="1" w:lastColumn="0" w:lastRow="0" w:noHBand="0" w:noVBand="1" w:val="04A0"/>
      </w:tblPr>
      <w:tblGrid>
        <w:gridCol w:w="2592"/>
        <w:gridCol w:w="1440"/>
        <w:gridCol w:w="1728"/>
        <w:gridCol w:w="1008"/>
        <w:gridCol w:w="864"/>
        <w:gridCol w:w="1728"/>
      </w:tblGrid>
      <w:tr>
        <w:tc>
          <w:tcPr>
            <w:tcW w:type="dxa" w:w="259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Amparo Opcional (Add-on)</w:t>
            </w:r>
          </w:p>
        </w:tc>
        <w:tc>
          <w:tcPr>
            <w:tcW w:type="dxa" w:w="144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Prima Mensual</w:t>
            </w:r>
          </w:p>
        </w:tc>
        <w:tc>
          <w:tcPr>
            <w:tcW w:type="dxa" w:w="172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Límite Anual</w:t>
            </w:r>
          </w:p>
        </w:tc>
        <w:tc>
          <w:tcPr>
            <w:tcW w:type="dxa" w:w="100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Carencia</w:t>
            </w:r>
          </w:p>
        </w:tc>
        <w:tc>
          <w:tcPr>
            <w:tcW w:type="dxa" w:w="864"/>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¿Copago?</w:t>
            </w:r>
          </w:p>
        </w:tc>
        <w:tc>
          <w:tcPr>
            <w:tcW w:type="dxa" w:w="172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Comportamiento Liquidación</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Enfermedades Comunes e Infecciosas</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$24.900 COP</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$5.000.000 COP</w:t>
            </w:r>
          </w:p>
        </w:tc>
        <w:tc>
          <w:tcPr>
            <w:tcW w:type="dxa" w:w="100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30 días</w:t>
            </w:r>
          </w:p>
        </w:tc>
        <w:tc>
          <w:tcPr>
            <w:tcW w:type="dxa" w:w="86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SÍ</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Aplica 10%, 15% o 20% según deducible.</w:t>
            </w:r>
          </w:p>
        </w:tc>
      </w:tr>
      <w:tr>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Medicamentos Recetados Ambulatorios</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$12.900 COP</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$600.000 COP</w:t>
            </w:r>
          </w:p>
        </w:tc>
        <w:tc>
          <w:tcPr>
            <w:tcW w:type="dxa" w:w="100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30 días</w:t>
            </w:r>
          </w:p>
        </w:tc>
        <w:tc>
          <w:tcPr>
            <w:tcW w:type="dxa" w:w="86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SÍ</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Aplica 10%, 15% o 20% según deducible.</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Pack Bienestar: Vacunas y Desparasitación</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$14.900 COP</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$350.000 COP</w:t>
            </w:r>
          </w:p>
        </w:tc>
        <w:tc>
          <w:tcPr>
            <w:tcW w:type="dxa" w:w="100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 días</w:t>
            </w:r>
          </w:p>
        </w:tc>
        <w:tc>
          <w:tcPr>
            <w:tcW w:type="dxa" w:w="86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NO</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Reembolso del 100% de la factura.</w:t>
            </w:r>
          </w:p>
        </w:tc>
      </w:tr>
      <w:tr>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Responsabilidad Civil Ley 1801 (50 SMLMV)</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$15.000 COP</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$87.545.250 COP</w:t>
            </w:r>
          </w:p>
        </w:tc>
        <w:tc>
          <w:tcPr>
            <w:tcW w:type="dxa" w:w="100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0 días</w:t>
            </w:r>
          </w:p>
        </w:tc>
        <w:tc>
          <w:tcPr>
            <w:tcW w:type="dxa" w:w="86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NO</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0% Copago. Indemnización íntegra a terceros.</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Asistencia Exequial y Cremación</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$9.900 COP</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$1.200.000 COP</w:t>
            </w:r>
          </w:p>
        </w:tc>
        <w:tc>
          <w:tcPr>
            <w:tcW w:type="dxa" w:w="100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30 días</w:t>
            </w:r>
          </w:p>
        </w:tc>
        <w:tc>
          <w:tcPr>
            <w:tcW w:type="dxa" w:w="86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NO</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Servicio integral directo con funeraria aliada.</w:t>
            </w:r>
          </w:p>
        </w:tc>
      </w:tr>
      <w:tr>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Telemedicina Veterinaria 24/7</w:t>
            </w:r>
          </w:p>
        </w:tc>
        <w:tc>
          <w:tcPr>
            <w:tcW w:type="dxa" w:w="144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$6.900 COP</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Ilimitado</w:t>
            </w:r>
          </w:p>
        </w:tc>
        <w:tc>
          <w:tcPr>
            <w:tcW w:type="dxa" w:w="100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0 días</w:t>
            </w:r>
          </w:p>
        </w:tc>
        <w:tc>
          <w:tcPr>
            <w:tcW w:type="dxa" w:w="864"/>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NO</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Videollamadas ilimitadas sin cobro por evento.</w:t>
            </w:r>
          </w:p>
        </w:tc>
      </w:tr>
      <w:tr>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Guardería por Titular Hospitalizado</w:t>
            </w:r>
          </w:p>
        </w:tc>
        <w:tc>
          <w:tcPr>
            <w:tcW w:type="dxa" w:w="144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$4.900 COP</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$800.000 COP (10d)</w:t>
            </w:r>
          </w:p>
        </w:tc>
        <w:tc>
          <w:tcPr>
            <w:tcW w:type="dxa" w:w="100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15 días</w:t>
            </w:r>
          </w:p>
        </w:tc>
        <w:tc>
          <w:tcPr>
            <w:tcW w:type="dxa" w:w="864"/>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NO</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Hasta $80.000 COP/día por hasta 10 días continuos.</w:t>
            </w:r>
          </w:p>
        </w:tc>
      </w:tr>
    </w:tbl>
    <w:p>
      <w:pPr>
        <w:spacing w:after="160"/>
      </w:pPr>
    </w:p>
    <w:p>
      <w:pPr>
        <w:pStyle w:val="Heading1"/>
        <w:spacing w:before="280" w:after="120"/>
      </w:pPr>
      <w:r>
        <w:rPr>
          <w:rFonts w:ascii="Arial" w:hAnsi="Arial"/>
          <w:b/>
          <w:color w:val="0A1C34"/>
          <w:sz w:val="28"/>
        </w:rPr>
        <w:t>7. Tramos de Deducible y Monotonía de Precios</w:t>
      </w:r>
    </w:p>
    <w:tbl>
      <w:tblPr>
        <w:tblW w:type="auto" w:w="0"/>
        <w:jc w:val="center"/>
        <w:tblLayout w:type="fixed"/>
        <w:tblLook w:firstColumn="1" w:firstRow="1" w:lastColumn="0" w:lastRow="0" w:noHBand="0" w:noVBand="1" w:val="04A0"/>
      </w:tblPr>
      <w:tblGrid>
        <w:gridCol w:w="2160"/>
        <w:gridCol w:w="1872"/>
        <w:gridCol w:w="2592"/>
        <w:gridCol w:w="2736"/>
      </w:tblGrid>
      <w:tr>
        <w:tc>
          <w:tcPr>
            <w:tcW w:type="dxa" w:w="216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Tramo Deducible</w:t>
            </w:r>
          </w:p>
        </w:tc>
        <w:tc>
          <w:tcPr>
            <w:tcW w:type="dxa" w:w="187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Factor Actuarial</w:t>
            </w:r>
          </w:p>
        </w:tc>
        <w:tc>
          <w:tcPr>
            <w:tcW w:type="dxa" w:w="259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Impacto en Prima Base</w:t>
            </w:r>
          </w:p>
        </w:tc>
        <w:tc>
          <w:tcPr>
            <w:tcW w:type="dxa" w:w="2736"/>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Aporte del Tomador en Siniestro</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1.15</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+15% sobre tarifa neutra</w:t>
            </w:r>
          </w:p>
        </w:tc>
        <w:tc>
          <w:tcPr>
            <w:tcW w:type="dxa" w:w="273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 a cargo del titular (Manto paga 90%)</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15%</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1.00</w:t>
            </w:r>
          </w:p>
        </w:tc>
        <w:tc>
          <w:tcPr>
            <w:tcW w:type="dxa" w:w="259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0% (Tarifa neutra base)</w:t>
            </w:r>
          </w:p>
        </w:tc>
        <w:tc>
          <w:tcPr>
            <w:tcW w:type="dxa" w:w="2736"/>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15% a cargo del titular (Manto paga 85%)</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20%</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0.88</w:t>
            </w:r>
          </w:p>
        </w:tc>
        <w:tc>
          <w:tcPr>
            <w:tcW w:type="dxa" w:w="259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-12% de descuento</w:t>
            </w:r>
          </w:p>
        </w:tc>
        <w:tc>
          <w:tcPr>
            <w:tcW w:type="dxa" w:w="2736"/>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20% a cargo del titular (Manto paga 80%)</w:t>
            </w:r>
          </w:p>
        </w:tc>
      </w:tr>
    </w:tbl>
    <w:p>
      <w:pPr>
        <w:spacing w:after="240"/>
      </w:pPr>
    </w:p>
    <w:p>
      <w:pPr>
        <w:pStyle w:val="Heading1"/>
        <w:spacing w:before="280" w:after="120"/>
      </w:pPr>
      <w:r>
        <w:rPr>
          <w:rFonts w:ascii="Arial" w:hAnsi="Arial"/>
          <w:b/>
          <w:color w:val="0A1C34"/>
          <w:sz w:val="28"/>
        </w:rPr>
        <w:t>8. Certificación y Trazabilidad en Código Fuente</w:t>
      </w:r>
    </w:p>
    <w:p>
      <w:pPr>
        <w:spacing w:after="320"/>
      </w:pPr>
      <w:r>
        <w:rPr>
          <w:rFonts w:ascii="Arial" w:hAnsi="Arial"/>
          <w:sz w:val="19"/>
        </w:rPr>
        <w:t>Toda la formulación actuarial descrita se encuentra respaldada por pruebas automatizadas en Jest que garantizan cero regresiones:</w:t>
        <w:br/>
        <w:t>• Suite de Pruebas Actuariales: backend/src/modules/pricing/pricing.actuarial.spec.ts</w:t>
        <w:br/>
        <w:t>• Suite de Validación de DTOs y Esquemas: backend/src/modules/pricing/pricing.validation.spec.ts</w:t>
        <w:br/>
        <w:t>• Archivo Canónico de Constantes: backend/src/modules/pricing/pricing.constants.ts</w:t>
        <w:br/>
        <w:t>• Implementación de Algoritmo de Cálculo: backend/src/modules/pricing/pricing.service.ts</w:t>
      </w:r>
    </w:p>
    <w:p>
      <w:pPr>
        <w:jc w:val="center"/>
      </w:pPr>
      <w:r>
        <w:rPr>
          <w:rFonts w:ascii="Arial" w:hAnsi="Arial"/>
          <w:i/>
          <w:color w:val="4A5A6F"/>
          <w:sz w:val="16"/>
        </w:rPr>
        <w:t>© 2026 Manto Seguros Digitales S.A.S. • Aprobado por manto-pricing • Documento Actuarial Confidencial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