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C34"/>
          <w:sz w:val="44"/>
        </w:rPr>
        <w:t>PLAN MAESTRO DE PRODUCTO Y ARQUITECTURA</w:t>
        <w:br/>
        <w:t>MANTO 2.0</w:t>
      </w:r>
    </w:p>
    <w:p>
      <w:pPr>
        <w:jc w:val="center"/>
      </w:pPr>
      <w:r>
        <w:rPr>
          <w:rFonts w:ascii="Arial" w:hAnsi="Arial"/>
          <w:i/>
          <w:color w:val="4A5A6F"/>
          <w:sz w:val="22"/>
        </w:rPr>
        <w:t>Plataforma Insurtech Digital Multi-Ramo para Colombia y Latinoamérica</w:t>
        <w:br/>
        <w:t>Versión 2.0.0 — Documento de Gobernanza y Especificación Técnica</w:t>
      </w:r>
    </w:p>
    <w:p>
      <w:pPr>
        <w:spacing w:after="240"/>
      </w:pPr>
    </w:p>
    <w:p>
      <w:pPr>
        <w:pStyle w:val="Heading1"/>
      </w:pPr>
      <w:r>
        <w:rPr>
          <w:color w:val="0A1C34"/>
        </w:rPr>
        <w:t>1. Resumen Ejecutivo y Visión de Producto</w:t>
      </w:r>
    </w:p>
    <w:p>
      <w:r>
        <w:t>Manto 2.0 es la plataforma de seguros digitales (Insurtech) diseñada para transformar la experiencia de aseguramiento en Colombia y la región. A diferencia de las aseguradoras tradicionales con pólizas rígidas en papel y tiempos de radicación de semanas, Manto ofrece:</w:t>
      </w:r>
    </w:p>
    <w:p>
      <w:pPr>
        <w:pStyle w:val="ListBullet"/>
      </w:pPr>
      <w:r>
        <w:t>• Cotización y Personalización en &lt; 60 segundos con asistencia de Nuquí (IA multimodal + motor determinista).</w:t>
      </w:r>
    </w:p>
    <w:p>
      <w:pPr>
        <w:pStyle w:val="ListBullet"/>
      </w:pPr>
      <w:r>
        <w:t>• Tarificación dinámica a la medida (Tailored Baseline) eliminando los paquetes rígidos de Bronce/Plata/Oro.</w:t>
      </w:r>
    </w:p>
    <w:p>
      <w:pPr>
        <w:pStyle w:val="ListBullet"/>
      </w:pPr>
      <w:r>
        <w:t>• Radicación y Reembolsos Veterinarios Automatizados con Sué (Validación CUFE DIAN + Aprobación STP en minutos para montos ≤ $500.000 COP).</w:t>
      </w:r>
    </w:p>
    <w:p>
      <w:pPr>
        <w:pStyle w:val="ListBullet"/>
      </w:pPr>
      <w:r>
        <w:t>• Cumplimiento legal estricto: Ley 1801 de 2016 (RCE 50 SMLMV para razas especiales), Habeas Data (Ley 1581) y dinero nominal exacto (ColombianPeso).</w:t>
      </w:r>
    </w:p>
    <w:p>
      <w:pPr>
        <w:pStyle w:val="Heading1"/>
      </w:pPr>
      <w:r>
        <w:rPr>
          <w:color w:val="0A1C34"/>
        </w:rPr>
        <w:t>2. Arquitectura Tecnológica y Stack</w:t>
      </w:r>
    </w:p>
    <w:p>
      <w:r>
        <w:t>La plataforma está construida bajo el patrón de Monolito Modular con principios de Domain-Driven Design (DDD), garantizando alta cohesión, bajo acoplamiento y facilidad de evolución hacia microservicios si la escala lo requiere: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C34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4680"/>
            <w:shd w:fill="0A1C34"/>
          </w:tcPr>
          <w:p>
            <w:r>
              <w:rPr>
                <w:b/>
                <w:color w:val="FFFFFF"/>
              </w:rPr>
              <w:t>Tecnología y Justificación</w:t>
            </w:r>
          </w:p>
        </w:tc>
      </w:tr>
      <w:tr>
        <w:tc>
          <w:tcPr>
            <w:tcW w:type="dxa" w:w="4680"/>
            <w:shd w:fill="F4F6F8"/>
          </w:tcPr>
          <w:p>
            <w:r>
              <w:t>Backend</w:t>
            </w:r>
          </w:p>
        </w:tc>
        <w:tc>
          <w:tcPr>
            <w:tcW w:type="dxa" w:w="4680"/>
            <w:shd w:fill="F4F6F8"/>
          </w:tcPr>
          <w:p>
            <w:r>
              <w:t>NestJS 10 (TypeScript 5, Node.js 20+). Monolito modular con DDD, CQRS ligero, Event Emitter y validación por DTOs class-validator.</w:t>
            </w:r>
          </w:p>
        </w:tc>
      </w:tr>
      <w:tr>
        <w:tc>
          <w:tcPr>
            <w:tcW w:type="dxa" w:w="4680"/>
            <w:shd w:fill="FFFFFF"/>
          </w:tcPr>
          <w:p>
            <w:r>
              <w:t>Frontend</w:t>
            </w:r>
          </w:p>
        </w:tc>
        <w:tc>
          <w:tcPr>
            <w:tcW w:type="dxa" w:w="4680"/>
            <w:shd w:fill="FFFFFF"/>
          </w:tcPr>
          <w:p>
            <w:r>
              <w:t>Next.js 14 (App Router, React 18, Tailwind CSS, @fontsource/poppins). Mobile-first, diseño Sanctuary, micro-animaciones fluidas.</w:t>
            </w:r>
          </w:p>
        </w:tc>
      </w:tr>
      <w:tr>
        <w:tc>
          <w:tcPr>
            <w:tcW w:type="dxa" w:w="4680"/>
            <w:shd w:fill="F4F6F8"/>
          </w:tcPr>
          <w:p>
            <w:r>
              <w:t>Base de Datos</w:t>
            </w:r>
          </w:p>
        </w:tc>
        <w:tc>
          <w:tcPr>
            <w:tcW w:type="dxa" w:w="4680"/>
            <w:shd w:fill="F4F6F8"/>
          </w:tcPr>
          <w:p>
            <w:r>
              <w:t>PostgreSQL 16 sin ORM (driver pg nativo). Migraciones transaccionales, UUIDv7, dinero como BigInt/cadena exacta y datos personales en columnas.</w:t>
            </w:r>
          </w:p>
        </w:tc>
      </w:tr>
      <w:tr>
        <w:tc>
          <w:tcPr>
            <w:tcW w:type="dxa" w:w="4680"/>
            <w:shd w:fill="FFFFFF"/>
          </w:tcPr>
          <w:p>
            <w:r>
              <w:t>Inteligencia Artificial</w:t>
            </w:r>
          </w:p>
        </w:tc>
        <w:tc>
          <w:tcPr>
            <w:tcW w:type="dxa" w:w="4680"/>
            <w:shd w:fill="FFFFFF"/>
          </w:tcPr>
          <w:p>
            <w:r>
              <w:t>Gemini 2.0 Flash Vision con fallback determinista de 3s. La IA asiste y clasifica, pero NUNCA es autoridad de suscripción ni calcula primas.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A1C34"/>
        </w:rPr>
        <w:t>3. Los Dominios Core de la Plataforma</w:t>
      </w:r>
    </w:p>
    <w:p>
      <w:r>
        <w:t>El sistema desacopla sus responsabilidades en 8 módulos core altamente cohesivos: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C34"/>
          </w:tcPr>
          <w:p>
            <w:r>
              <w:rPr>
                <w:b/>
                <w:color w:val="FFFFFF"/>
              </w:rPr>
              <w:t>Módulo / Dominio</w:t>
            </w:r>
          </w:p>
        </w:tc>
        <w:tc>
          <w:tcPr>
            <w:tcW w:type="dxa" w:w="4680"/>
            <w:shd w:fill="0A1C34"/>
          </w:tcPr>
          <w:p>
            <w:r>
              <w:rPr>
                <w:b/>
                <w:color w:val="FFFFFF"/>
              </w:rPr>
              <w:t>Responsabilidad Clave</w:t>
            </w:r>
          </w:p>
        </w:tc>
      </w:tr>
      <w:tr>
        <w:tc>
          <w:tcPr>
            <w:tcW w:type="dxa" w:w="4680"/>
            <w:shd w:fill="F4F6F8"/>
          </w:tcPr>
          <w:p>
            <w:r>
              <w:t>Pricing Engine (Tarificación)</w:t>
            </w:r>
          </w:p>
        </w:tc>
        <w:tc>
          <w:tcPr>
            <w:tcW w:type="dxa" w:w="4680"/>
            <w:shd w:fill="F4F6F8"/>
          </w:tcPr>
          <w:p>
            <w:r>
              <w:t>Motor determinista que cruza especie, raza, contextura, edad, sexo, ciudad y deducible. Gestiona el catálogo actuarial y amparos.</w:t>
            </w:r>
          </w:p>
        </w:tc>
      </w:tr>
      <w:tr>
        <w:tc>
          <w:tcPr>
            <w:tcW w:type="dxa" w:w="4680"/>
            <w:shd w:fill="FFFFFF"/>
          </w:tcPr>
          <w:p>
            <w:r>
              <w:t>Quotes (Cotizaciones)</w:t>
            </w:r>
          </w:p>
        </w:tc>
        <w:tc>
          <w:tcPr>
            <w:tcW w:type="dxa" w:w="4680"/>
            <w:shd w:fill="FFFFFF"/>
          </w:tcPr>
          <w:p>
            <w:r>
              <w:t>Generación de cotizaciones inmutables con UUIDv7 y vigencia de 15 días calendario. Control de elegibilidad.</w:t>
            </w:r>
          </w:p>
        </w:tc>
      </w:tr>
      <w:tr>
        <w:tc>
          <w:tcPr>
            <w:tcW w:type="dxa" w:w="4680"/>
            <w:shd w:fill="F4F6F8"/>
          </w:tcPr>
          <w:p>
            <w:r>
              <w:t>Policies (Pólizas)</w:t>
            </w:r>
          </w:p>
        </w:tc>
        <w:tc>
          <w:tcPr>
            <w:tcW w:type="dxa" w:w="4680"/>
            <w:shd w:fill="F4F6F8"/>
          </w:tcPr>
          <w:p>
            <w:r>
              <w:t>Emisión, activación, estado de vigencia y ciclo de vida de la póliza contratada.</w:t>
            </w:r>
          </w:p>
        </w:tc>
      </w:tr>
      <w:tr>
        <w:tc>
          <w:tcPr>
            <w:tcW w:type="dxa" w:w="4680"/>
            <w:shd w:fill="FFFFFF"/>
          </w:tcPr>
          <w:p>
            <w:r>
              <w:t>Claims &amp; Siniestros (Sué ⚡)</w:t>
            </w:r>
          </w:p>
        </w:tc>
        <w:tc>
          <w:tcPr>
            <w:tcW w:type="dxa" w:w="4680"/>
            <w:shd w:fill="FFFFFF"/>
          </w:tcPr>
          <w:p>
            <w:r>
              <w:t>Radicación FNOL, máquina de estados de siniestros, motor STP (≤ $500.000 COP) y auditoría médica veterinaria.</w:t>
            </w:r>
          </w:p>
        </w:tc>
      </w:tr>
      <w:tr>
        <w:tc>
          <w:tcPr>
            <w:tcW w:type="dxa" w:w="4680"/>
            <w:shd w:fill="F4F6F8"/>
          </w:tcPr>
          <w:p>
            <w:r>
              <w:t>Reimbursements (Pagos)</w:t>
            </w:r>
          </w:p>
        </w:tc>
        <w:tc>
          <w:tcPr>
            <w:tcW w:type="dxa" w:w="4680"/>
            <w:shd w:fill="F4F6F8"/>
          </w:tcPr>
          <w:p>
            <w:r>
              <w:t>Dispersión de fondos a través de Bre-B (llave celular/cédula) y pasarelas de pago.</w:t>
            </w:r>
          </w:p>
        </w:tc>
      </w:tr>
      <w:tr>
        <w:tc>
          <w:tcPr>
            <w:tcW w:type="dxa" w:w="4680"/>
            <w:shd w:fill="FFFFFF"/>
          </w:tcPr>
          <w:p>
            <w:r>
              <w:t>AI &amp; Conversational (Nuquí 🐾)</w:t>
            </w:r>
          </w:p>
        </w:tc>
        <w:tc>
          <w:tcPr>
            <w:tcW w:type="dxa" w:w="4680"/>
            <w:shd w:fill="FFFFFF"/>
          </w:tcPr>
          <w:p>
            <w:r>
              <w:t>Visión por computador para detección biométrica de mascotas y orquestación del chat de cotización sin fricción.</w:t>
            </w:r>
          </w:p>
        </w:tc>
      </w:tr>
      <w:tr>
        <w:tc>
          <w:tcPr>
            <w:tcW w:type="dxa" w:w="4680"/>
            <w:shd w:fill="F4F6F8"/>
          </w:tcPr>
          <w:p>
            <w:r>
              <w:t>Eligibility (Suscripción)</w:t>
            </w:r>
          </w:p>
        </w:tc>
        <w:tc>
          <w:tcPr>
            <w:tcW w:type="dxa" w:w="4680"/>
            <w:shd w:fill="F4F6F8"/>
          </w:tcPr>
          <w:p>
            <w:r>
              <w:t>Reglas de nuevo ingreso (2 a 144 meses) y validaciones de asegurabilidad.</w:t>
            </w:r>
          </w:p>
        </w:tc>
      </w:tr>
      <w:tr>
        <w:tc>
          <w:tcPr>
            <w:tcW w:type="dxa" w:w="4680"/>
            <w:shd w:fill="FFFFFF"/>
          </w:tcPr>
          <w:p>
            <w:r>
              <w:t>Identity &amp; Security</w:t>
            </w:r>
          </w:p>
        </w:tc>
        <w:tc>
          <w:tcPr>
            <w:tcW w:type="dxa" w:w="4680"/>
            <w:shd w:fill="FFFFFF"/>
          </w:tcPr>
          <w:p>
            <w:r>
              <w:t>Habeas Data (derecho de supresión Ley 1581), control de acceso y prevención de fraude.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A1C34"/>
        </w:rPr>
        <w:t>4. Estructura de Cobro de Prima y Motor Actuarial</w:t>
      </w:r>
    </w:p>
    <w:p>
      <w:r>
        <w:t>Fórmula Maestra:</w:t>
        <w:br/>
        <w:t>Prima Base Mensual = Tasa Pura ($30.000) × F_especie × F_raza × F_tamaño × F_sexo × F_edad × F_ciudad × F_deducible × (1 - D_multimascota)</w:t>
        <w:br/>
        <w:t>Prima Total Mensual = Prima Base Mensual + ∑ Primas de Add-ons Activos</w:t>
        <w:br/>
        <w:t>Prima Total Anual = Prima Total Mensual × 11 (1 mes gratis por pago anticipado)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C34"/>
          </w:tcPr>
          <w:p>
            <w:r>
              <w:rPr>
                <w:b/>
                <w:color w:val="FFFFFF"/>
              </w:rPr>
              <w:t>Add-on / Cobertura Opcional</w:t>
            </w:r>
          </w:p>
        </w:tc>
        <w:tc>
          <w:tcPr>
            <w:tcW w:type="dxa" w:w="2340"/>
            <w:shd w:fill="0A1C34"/>
          </w:tcPr>
          <w:p>
            <w:r>
              <w:rPr>
                <w:b/>
                <w:color w:val="FFFFFF"/>
              </w:rPr>
              <w:t>Cuota Mensual</w:t>
            </w:r>
          </w:p>
        </w:tc>
        <w:tc>
          <w:tcPr>
            <w:tcW w:type="dxa" w:w="2340"/>
            <w:shd w:fill="0A1C34"/>
          </w:tcPr>
          <w:p>
            <w:r>
              <w:rPr>
                <w:b/>
                <w:color w:val="FFFFFF"/>
              </w:rPr>
              <w:t>Límite Anual</w:t>
            </w:r>
          </w:p>
        </w:tc>
        <w:tc>
          <w:tcPr>
            <w:tcW w:type="dxa" w:w="2340"/>
            <w:shd w:fill="0A1C34"/>
          </w:tcPr>
          <w:p>
            <w:r>
              <w:rPr>
                <w:b/>
                <w:color w:val="FFFFFF"/>
              </w:rPr>
              <w:t>Días Activación</w:t>
            </w:r>
          </w:p>
        </w:tc>
      </w:tr>
      <w:tr>
        <w:tc>
          <w:tcPr>
            <w:tcW w:type="dxa" w:w="2340"/>
            <w:shd w:fill="F4F6F8"/>
          </w:tcPr>
          <w:p>
            <w:r>
              <w:t>Enfermedades Comunes e Infecciosas</w:t>
            </w:r>
          </w:p>
        </w:tc>
        <w:tc>
          <w:tcPr>
            <w:tcW w:type="dxa" w:w="2340"/>
            <w:shd w:fill="F4F6F8"/>
          </w:tcPr>
          <w:p>
            <w:r>
              <w:t>$24.900 COP</w:t>
            </w:r>
          </w:p>
        </w:tc>
        <w:tc>
          <w:tcPr>
            <w:tcW w:type="dxa" w:w="2340"/>
            <w:shd w:fill="F4F6F8"/>
          </w:tcPr>
          <w:p>
            <w:r>
              <w:t>$5.000.000 COP</w:t>
            </w:r>
          </w:p>
        </w:tc>
        <w:tc>
          <w:tcPr>
            <w:tcW w:type="dxa" w:w="2340"/>
            <w:shd w:fill="F4F6F8"/>
          </w:tcPr>
          <w:p>
            <w:r>
              <w:t>30 días</w:t>
            </w:r>
          </w:p>
        </w:tc>
      </w:tr>
      <w:tr>
        <w:tc>
          <w:tcPr>
            <w:tcW w:type="dxa" w:w="2340"/>
            <w:shd w:fill="FFFFFF"/>
          </w:tcPr>
          <w:p>
            <w:r>
              <w:t>Medicamentos Recetados Ambulatorios</w:t>
            </w:r>
          </w:p>
        </w:tc>
        <w:tc>
          <w:tcPr>
            <w:tcW w:type="dxa" w:w="2340"/>
            <w:shd w:fill="FFFFFF"/>
          </w:tcPr>
          <w:p>
            <w:r>
              <w:t>$12.900 COP</w:t>
            </w:r>
          </w:p>
        </w:tc>
        <w:tc>
          <w:tcPr>
            <w:tcW w:type="dxa" w:w="2340"/>
            <w:shd w:fill="FFFFFF"/>
          </w:tcPr>
          <w:p>
            <w:r>
              <w:t>$600.000 COP</w:t>
            </w:r>
          </w:p>
        </w:tc>
        <w:tc>
          <w:tcPr>
            <w:tcW w:type="dxa" w:w="2340"/>
            <w:shd w:fill="FFFFFF"/>
          </w:tcPr>
          <w:p>
            <w:r>
              <w:t>30 días</w:t>
            </w:r>
          </w:p>
        </w:tc>
      </w:tr>
      <w:tr>
        <w:tc>
          <w:tcPr>
            <w:tcW w:type="dxa" w:w="2340"/>
            <w:shd w:fill="F4F6F8"/>
          </w:tcPr>
          <w:p>
            <w:r>
              <w:t>Responsabilidad Civil (Ley 1801)</w:t>
            </w:r>
          </w:p>
        </w:tc>
        <w:tc>
          <w:tcPr>
            <w:tcW w:type="dxa" w:w="2340"/>
            <w:shd w:fill="F4F6F8"/>
          </w:tcPr>
          <w:p>
            <w:r>
              <w:t>$15.000 COP</w:t>
            </w:r>
          </w:p>
        </w:tc>
        <w:tc>
          <w:tcPr>
            <w:tcW w:type="dxa" w:w="2340"/>
            <w:shd w:fill="F4F6F8"/>
          </w:tcPr>
          <w:p>
            <w:r>
              <w:t>$87.545.250 (50 SMLMV)</w:t>
            </w:r>
          </w:p>
        </w:tc>
        <w:tc>
          <w:tcPr>
            <w:tcW w:type="dxa" w:w="2340"/>
            <w:shd w:fill="F4F6F8"/>
          </w:tcPr>
          <w:p>
            <w:r>
              <w:t>Inmediata (0 d)</w:t>
            </w:r>
          </w:p>
        </w:tc>
      </w:tr>
      <w:tr>
        <w:tc>
          <w:tcPr>
            <w:tcW w:type="dxa" w:w="2340"/>
            <w:shd w:fill="FFFFFF"/>
          </w:tcPr>
          <w:p>
            <w:r>
              <w:t>Asistencia Exequial y Cremación</w:t>
            </w:r>
          </w:p>
        </w:tc>
        <w:tc>
          <w:tcPr>
            <w:tcW w:type="dxa" w:w="2340"/>
            <w:shd w:fill="FFFFFF"/>
          </w:tcPr>
          <w:p>
            <w:r>
              <w:t>$9.900 COP</w:t>
            </w:r>
          </w:p>
        </w:tc>
        <w:tc>
          <w:tcPr>
            <w:tcW w:type="dxa" w:w="2340"/>
            <w:shd w:fill="FFFFFF"/>
          </w:tcPr>
          <w:p>
            <w:r>
              <w:t>$1.200.000 COP</w:t>
            </w:r>
          </w:p>
        </w:tc>
        <w:tc>
          <w:tcPr>
            <w:tcW w:type="dxa" w:w="2340"/>
            <w:shd w:fill="FFFFFF"/>
          </w:tcPr>
          <w:p>
            <w:r>
              <w:t>30 días</w:t>
            </w:r>
          </w:p>
        </w:tc>
      </w:tr>
      <w:tr>
        <w:tc>
          <w:tcPr>
            <w:tcW w:type="dxa" w:w="2340"/>
            <w:shd w:fill="F4F6F8"/>
          </w:tcPr>
          <w:p>
            <w:r>
              <w:t>Telemedicina Veterinaria 24/7</w:t>
            </w:r>
          </w:p>
        </w:tc>
        <w:tc>
          <w:tcPr>
            <w:tcW w:type="dxa" w:w="2340"/>
            <w:shd w:fill="F4F6F8"/>
          </w:tcPr>
          <w:p>
            <w:r>
              <w:t>$6.900 COP</w:t>
            </w:r>
          </w:p>
        </w:tc>
        <w:tc>
          <w:tcPr>
            <w:tcW w:type="dxa" w:w="2340"/>
            <w:shd w:fill="F4F6F8"/>
          </w:tcPr>
          <w:p>
            <w:r>
              <w:t>Ilimitado</w:t>
            </w:r>
          </w:p>
        </w:tc>
        <w:tc>
          <w:tcPr>
            <w:tcW w:type="dxa" w:w="2340"/>
            <w:shd w:fill="F4F6F8"/>
          </w:tcPr>
          <w:p>
            <w:r>
              <w:t>Inmediata (0 d)</w:t>
            </w:r>
          </w:p>
        </w:tc>
      </w:tr>
      <w:tr>
        <w:tc>
          <w:tcPr>
            <w:tcW w:type="dxa" w:w="2340"/>
            <w:shd w:fill="FFFFFF"/>
          </w:tcPr>
          <w:p>
            <w:r>
              <w:t>Guardería por Hospitalización Tomador</w:t>
            </w:r>
          </w:p>
        </w:tc>
        <w:tc>
          <w:tcPr>
            <w:tcW w:type="dxa" w:w="2340"/>
            <w:shd w:fill="FFFFFF"/>
          </w:tcPr>
          <w:p>
            <w:r>
              <w:t>$4.900 COP</w:t>
            </w:r>
          </w:p>
        </w:tc>
        <w:tc>
          <w:tcPr>
            <w:tcW w:type="dxa" w:w="2340"/>
            <w:shd w:fill="FFFFFF"/>
          </w:tcPr>
          <w:p>
            <w:r>
              <w:t>$800.000 COP</w:t>
            </w:r>
          </w:p>
        </w:tc>
        <w:tc>
          <w:tcPr>
            <w:tcW w:type="dxa" w:w="2340"/>
            <w:shd w:fill="FFFFFF"/>
          </w:tcPr>
          <w:p>
            <w:r>
              <w:t>15 días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A1C34"/>
        </w:rPr>
        <w:t>5. Estado del Desarrollo y Roadmap</w:t>
      </w:r>
    </w:p>
    <w:p>
      <w:r>
        <w:t>Fase 1: MVP Core Mascotas (Completada):</w:t>
      </w:r>
    </w:p>
    <w:p>
      <w:pPr>
        <w:pStyle w:val="ListBullet"/>
      </w:pPr>
      <w:r>
        <w:t>✓ Motor de tarificación determinista en NestJS con nominales BigInt.</w:t>
      </w:r>
    </w:p>
    <w:p>
      <w:pPr>
        <w:pStyle w:val="ListBullet"/>
      </w:pPr>
      <w:r>
        <w:t>✓ Flujo conversacional de Nuquí en Next.js con carga de fotos y selección de amparos.</w:t>
      </w:r>
    </w:p>
    <w:p>
      <w:pPr>
        <w:pStyle w:val="ListBullet"/>
      </w:pPr>
      <w:r>
        <w:t>✓ Migraciones PostgreSQL y persistencia con trazabilidad de RCE Ley 1801.</w:t>
      </w:r>
    </w:p>
    <w:p>
      <w:r>
        <w:t>Fase 2: Checkout, Segunda Mascota y Siniestros (En curso):</w:t>
      </w:r>
    </w:p>
    <w:p>
      <w:pPr>
        <w:pStyle w:val="ListBullet"/>
      </w:pPr>
      <w:r>
        <w:t>• Flujo de alta de segunda mascota con 5% de descuento.</w:t>
      </w:r>
    </w:p>
    <w:p>
      <w:pPr>
        <w:pStyle w:val="ListBullet"/>
      </w:pPr>
      <w:r>
        <w:t>• Checkout y pasarela de pago (Wompi / PSE / Tarjeta / Bre-B).</w:t>
      </w:r>
    </w:p>
    <w:p>
      <w:pPr>
        <w:pStyle w:val="ListBullet"/>
      </w:pPr>
      <w:r>
        <w:t>• Portal de reembolsos con Sué (validación DIAN CUFE + STP).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