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6C872" w14:textId="77777777" w:rsidR="00C914E9" w:rsidRDefault="00C914E9" w:rsidP="00C914E9">
      <w:pPr>
        <w:pStyle w:val="Ttulo2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Arial" w:hAnsi="Arial" w:cs="Arial"/>
          <w:b w:val="0"/>
          <w:bCs w:val="0"/>
          <w:color w:val="343843"/>
          <w:sz w:val="34"/>
          <w:szCs w:val="34"/>
        </w:rPr>
      </w:pPr>
      <w:r w:rsidRPr="00A20819">
        <w:rPr>
          <w:rFonts w:ascii="Arial" w:hAnsi="Arial" w:cs="Arial"/>
          <w:b w:val="0"/>
          <w:bCs w:val="0"/>
          <w:color w:val="343843"/>
          <w:sz w:val="34"/>
          <w:szCs w:val="34"/>
          <w:lang w:val="es-ES"/>
        </w:rPr>
        <w:t>Contrato de compraventa de bienes</w:t>
      </w:r>
    </w:p>
    <w:p w14:paraId="470488DE" w14:textId="77777777" w:rsidR="0077684F" w:rsidRDefault="0077684F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833C0B" w:themeColor="accent2" w:themeShade="80"/>
          <w:sz w:val="21"/>
          <w:szCs w:val="21"/>
          <w:lang w:val="es-ES"/>
        </w:rPr>
      </w:pPr>
      <w:r>
        <w:rPr>
          <w:rFonts w:ascii="inherit" w:hAnsi="inherit" w:cs="Arial"/>
          <w:color w:val="833C0B" w:themeColor="accent2" w:themeShade="80"/>
          <w:sz w:val="21"/>
          <w:szCs w:val="21"/>
          <w:lang w:val="es-ES"/>
        </w:rPr>
        <w:t>El contrato de compraventa produce la transmisión de la propiedad con carácter obligacional, es decir, el vendedor se obliga a entregar al comprador una cosa a cambio de un precio.</w:t>
      </w:r>
    </w:p>
    <w:p w14:paraId="1403831E" w14:textId="77777777" w:rsidR="00A96839" w:rsidRPr="00A96839" w:rsidRDefault="0077684F" w:rsidP="0077684F">
      <w:pPr>
        <w:pStyle w:val="NormalWeb"/>
        <w:shd w:val="clear" w:color="auto" w:fill="FFFFFF"/>
        <w:spacing w:before="120" w:after="120" w:line="360" w:lineRule="atLeast"/>
        <w:textAlignment w:val="baseline"/>
        <w:rPr>
          <w:rFonts w:ascii="inherit" w:hAnsi="inherit" w:cs="Arial"/>
          <w:color w:val="833C0B" w:themeColor="accent2" w:themeShade="80"/>
          <w:sz w:val="21"/>
          <w:szCs w:val="21"/>
          <w:lang w:val="es-ES_tradnl"/>
        </w:rPr>
      </w:pPr>
      <w:r>
        <w:rPr>
          <w:rFonts w:ascii="inherit" w:hAnsi="inherit" w:cs="Arial"/>
          <w:color w:val="833C0B" w:themeColor="accent2" w:themeShade="80"/>
          <w:sz w:val="21"/>
          <w:szCs w:val="21"/>
          <w:lang w:val="es-ES"/>
        </w:rPr>
        <w:t xml:space="preserve">En concreto, a través de este contrato de compraventa, el objeto de transmisión será un bien inmueble, ¿y qué podemos entender por un bien inmueble? Pues son aquellos bienes </w:t>
      </w:r>
      <w:r w:rsidRPr="0077684F">
        <w:rPr>
          <w:rFonts w:ascii="inherit" w:hAnsi="inherit" w:cs="Arial"/>
          <w:color w:val="833C0B" w:themeColor="accent2" w:themeShade="80"/>
          <w:sz w:val="21"/>
          <w:szCs w:val="21"/>
          <w:lang w:val="es-ES_tradnl"/>
        </w:rPr>
        <w:t>que poseen una situación fija en el espacio que impide que sean desplazados</w:t>
      </w:r>
      <w:r>
        <w:rPr>
          <w:rFonts w:ascii="inherit" w:hAnsi="inherit" w:cs="Arial"/>
          <w:color w:val="833C0B" w:themeColor="accent2" w:themeShade="80"/>
          <w:sz w:val="21"/>
          <w:szCs w:val="21"/>
          <w:lang w:val="es-ES_tradnl"/>
        </w:rPr>
        <w:t xml:space="preserve">, por ejemplo: viviendas, una plaza de </w:t>
      </w:r>
      <w:r>
        <w:rPr>
          <w:rFonts w:ascii="inherit" w:hAnsi="inherit" w:cs="Arial" w:hint="eastAsia"/>
          <w:color w:val="833C0B" w:themeColor="accent2" w:themeShade="80"/>
          <w:sz w:val="21"/>
          <w:szCs w:val="21"/>
          <w:lang w:val="es-ES_tradnl"/>
        </w:rPr>
        <w:t>garaje</w:t>
      </w:r>
      <w:r>
        <w:rPr>
          <w:rFonts w:ascii="inherit" w:hAnsi="inherit" w:cs="Arial"/>
          <w:color w:val="833C0B" w:themeColor="accent2" w:themeShade="80"/>
          <w:sz w:val="21"/>
          <w:szCs w:val="21"/>
          <w:lang w:val="es-ES_tradnl"/>
        </w:rPr>
        <w:t>, un local, etc.</w:t>
      </w:r>
      <w:r w:rsidR="00A96839">
        <w:rPr>
          <w:rFonts w:ascii="inherit" w:hAnsi="inherit" w:cs="Arial"/>
          <w:color w:val="833C0B" w:themeColor="accent2" w:themeShade="80"/>
          <w:sz w:val="21"/>
          <w:szCs w:val="21"/>
          <w:lang w:val="es-ES_tradnl"/>
        </w:rPr>
        <w:t xml:space="preserve"> </w:t>
      </w:r>
    </w:p>
    <w:p w14:paraId="65C9E0E6" w14:textId="77777777" w:rsidR="00A96839" w:rsidRDefault="00A96839" w:rsidP="0077684F">
      <w:pPr>
        <w:pStyle w:val="NormalWeb"/>
        <w:shd w:val="clear" w:color="auto" w:fill="FFFFFF"/>
        <w:spacing w:before="120" w:after="120" w:line="360" w:lineRule="atLeast"/>
        <w:textAlignment w:val="baseline"/>
        <w:rPr>
          <w:rFonts w:ascii="inherit" w:hAnsi="inherit" w:cs="Arial"/>
          <w:color w:val="833C0B" w:themeColor="accent2" w:themeShade="80"/>
          <w:sz w:val="21"/>
          <w:szCs w:val="21"/>
          <w:lang w:val="es-ES_tradnl"/>
        </w:rPr>
      </w:pPr>
      <w:bookmarkStart w:id="0" w:name="_GoBack"/>
      <w:bookmarkEnd w:id="0"/>
    </w:p>
    <w:p w14:paraId="0CC5D0F1" w14:textId="77777777" w:rsidR="00A96839" w:rsidRPr="0077684F" w:rsidRDefault="00A96839" w:rsidP="0077684F">
      <w:pPr>
        <w:pStyle w:val="NormalWeb"/>
        <w:shd w:val="clear" w:color="auto" w:fill="FFFFFF"/>
        <w:spacing w:before="120" w:after="120" w:line="360" w:lineRule="atLeast"/>
        <w:textAlignment w:val="baseline"/>
        <w:rPr>
          <w:rFonts w:ascii="inherit" w:hAnsi="inherit" w:cs="Arial"/>
          <w:color w:val="833C0B" w:themeColor="accent2" w:themeShade="80"/>
          <w:sz w:val="21"/>
          <w:szCs w:val="21"/>
          <w:lang w:val="es-ES_tradnl"/>
        </w:rPr>
      </w:pPr>
      <w:r>
        <w:rPr>
          <w:rFonts w:ascii="inherit" w:hAnsi="inherit" w:cs="Arial"/>
          <w:color w:val="833C0B" w:themeColor="accent2" w:themeShade="80"/>
          <w:sz w:val="21"/>
          <w:szCs w:val="21"/>
          <w:lang w:val="es-ES_tradnl"/>
        </w:rPr>
        <w:t>Por lo tanto, este contrato podría ser utilizado, tanto entre particulares, como entre profesionales, o entre particular y profesional en los casos que se quiera vender una vivienda, un local comercial, una plaza de garaje, o cualquier otro bien inmueble.</w:t>
      </w:r>
    </w:p>
    <w:p w14:paraId="1BED6AEB" w14:textId="77777777" w:rsidR="0077684F" w:rsidRPr="0077684F" w:rsidRDefault="0077684F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833C0B" w:themeColor="accent2" w:themeShade="80"/>
          <w:sz w:val="21"/>
          <w:szCs w:val="21"/>
          <w:lang w:val="es-ES"/>
        </w:rPr>
      </w:pPr>
      <w:r>
        <w:rPr>
          <w:rFonts w:ascii="inherit" w:hAnsi="inherit" w:cs="Arial"/>
          <w:color w:val="833C0B" w:themeColor="accent2" w:themeShade="80"/>
          <w:sz w:val="21"/>
          <w:szCs w:val="21"/>
          <w:lang w:val="es-ES"/>
        </w:rPr>
        <w:t xml:space="preserve"> </w:t>
      </w:r>
      <w:r w:rsidR="00A96839">
        <w:rPr>
          <w:rFonts w:ascii="inherit" w:hAnsi="inherit" w:cs="Arial"/>
          <w:color w:val="833C0B" w:themeColor="accent2" w:themeShade="80"/>
          <w:sz w:val="21"/>
          <w:szCs w:val="21"/>
          <w:lang w:val="es-ES"/>
        </w:rPr>
        <w:t>Aunque los contratos de compraventa se pueden formalizar de forma verbal o escrita, nuestra recomendación es que los realice de forma escrita, si bien, esto otorgará más garantías tanto a la parte vendedora como a la compradora en caso de discrepancias, incumplimiento, o a efecto de aportar pruebas si surgiera un procedimiento judicial.</w:t>
      </w:r>
    </w:p>
    <w:p w14:paraId="7E2B8A24" w14:textId="77777777" w:rsidR="00C914E9" w:rsidRPr="00A2081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  <w:lang w:val="es-ES"/>
        </w:rPr>
      </w:pPr>
      <w:r w:rsidRPr="00A20819">
        <w:rPr>
          <w:rFonts w:ascii="inherit" w:hAnsi="inherit" w:cs="Arial"/>
          <w:color w:val="343843"/>
          <w:sz w:val="21"/>
          <w:szCs w:val="21"/>
          <w:lang w:val="es-ES"/>
        </w:rPr>
        <w:t>Por otro lado, tanto los contratos de compraventa de muebles como los de inmuebles son válidos si se formalizan en </w:t>
      </w:r>
      <w:r w:rsidRPr="00A20819">
        <w:rPr>
          <w:rStyle w:val="Textoennegrita"/>
          <w:rFonts w:ascii="inherit" w:hAnsi="inherit" w:cs="Arial"/>
          <w:color w:val="131418"/>
          <w:sz w:val="21"/>
          <w:szCs w:val="21"/>
          <w:lang w:val="es-ES"/>
        </w:rPr>
        <w:t>documento privado</w:t>
      </w:r>
      <w:r w:rsidRPr="00A20819">
        <w:rPr>
          <w:rFonts w:ascii="inherit" w:hAnsi="inherit" w:cs="Arial"/>
          <w:color w:val="343843"/>
          <w:sz w:val="21"/>
          <w:szCs w:val="21"/>
          <w:lang w:val="es-ES"/>
        </w:rPr>
        <w:t> (que luego se puede elevar a público ante un notario), pero por razones de prueba, será necesario que los contratos de compraventa relacionados con bienes inmuebles sean </w:t>
      </w:r>
      <w:r w:rsidRPr="00A20819">
        <w:rPr>
          <w:rStyle w:val="Textoennegrita"/>
          <w:rFonts w:ascii="inherit" w:hAnsi="inherit" w:cs="Arial"/>
          <w:color w:val="131418"/>
          <w:sz w:val="21"/>
          <w:szCs w:val="21"/>
          <w:lang w:val="es-ES"/>
        </w:rPr>
        <w:t>elevados a público</w:t>
      </w:r>
      <w:r w:rsidRPr="00A20819">
        <w:rPr>
          <w:rFonts w:ascii="inherit" w:hAnsi="inherit" w:cs="Arial"/>
          <w:color w:val="343843"/>
          <w:sz w:val="21"/>
          <w:szCs w:val="21"/>
          <w:lang w:val="es-ES"/>
        </w:rPr>
        <w:t>.</w:t>
      </w:r>
    </w:p>
    <w:p w14:paraId="675F7FEF" w14:textId="77777777" w:rsidR="00C914E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br/>
      </w:r>
      <w:r>
        <w:rPr>
          <w:rStyle w:val="Textoennegrita"/>
          <w:rFonts w:ascii="inherit" w:hAnsi="inherit" w:cs="Arial"/>
          <w:color w:val="131418"/>
          <w:sz w:val="21"/>
          <w:szCs w:val="21"/>
        </w:rPr>
        <w:t>¿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Cómo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utilizar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este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documento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>?</w:t>
      </w:r>
    </w:p>
    <w:p w14:paraId="55BBF393" w14:textId="77777777" w:rsidR="00C914E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t xml:space="preserve">Este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documento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puede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ser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utilizado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para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las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 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compraventas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entre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particulares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, entre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profesionales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, y entre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particulares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y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profesionales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.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Puede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utilizarse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para la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venta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 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bienes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inmuebles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 (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por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ejemplo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una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vivienda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una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plaza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garaje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). Sin embargo, en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segundo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caso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contrato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solo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puede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ser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probado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mediante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documento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público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al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cual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se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puede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elevar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este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documento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después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su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formalización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.</w:t>
      </w:r>
    </w:p>
    <w:p w14:paraId="267C42FE" w14:textId="77777777" w:rsidR="00C914E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t> </w:t>
      </w:r>
    </w:p>
    <w:p w14:paraId="0822D608" w14:textId="77777777" w:rsidR="00C914E9" w:rsidRDefault="00C914E9" w:rsidP="00C914E9">
      <w:pPr>
        <w:numPr>
          <w:ilvl w:val="0"/>
          <w:numId w:val="1"/>
        </w:numPr>
        <w:spacing w:line="360" w:lineRule="atLeast"/>
        <w:ind w:left="480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Style w:val="Textoennegrita"/>
          <w:rFonts w:ascii="inherit" w:hAnsi="inherit" w:cs="Arial"/>
          <w:color w:val="131418"/>
          <w:sz w:val="21"/>
          <w:szCs w:val="21"/>
        </w:rPr>
        <w:t>Contenido del contrato</w:t>
      </w:r>
    </w:p>
    <w:p w14:paraId="3B799685" w14:textId="77777777" w:rsidR="00C914E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t xml:space="preserve">Este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documento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incluye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siguiente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 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contenido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mínimo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 para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garantizar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la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eficacia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contrato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:</w:t>
      </w:r>
    </w:p>
    <w:p w14:paraId="42904D33" w14:textId="77777777" w:rsidR="00C914E9" w:rsidRDefault="00C914E9" w:rsidP="00C914E9">
      <w:pPr>
        <w:numPr>
          <w:ilvl w:val="0"/>
          <w:numId w:val="2"/>
        </w:numPr>
        <w:spacing w:line="360" w:lineRule="atLeast"/>
        <w:ind w:left="480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t>la </w:t>
      </w:r>
      <w:r>
        <w:rPr>
          <w:rStyle w:val="Textoennegrita"/>
          <w:rFonts w:ascii="inherit" w:hAnsi="inherit" w:cs="Arial"/>
          <w:color w:val="131418"/>
          <w:sz w:val="21"/>
          <w:szCs w:val="21"/>
        </w:rPr>
        <w:t>descripción de las partes</w:t>
      </w:r>
      <w:r>
        <w:rPr>
          <w:rFonts w:ascii="inherit" w:hAnsi="inherit" w:cs="Arial"/>
          <w:color w:val="343843"/>
          <w:sz w:val="21"/>
          <w:szCs w:val="21"/>
        </w:rPr>
        <w:t>, vendedor(es) y comprador(es);</w:t>
      </w:r>
    </w:p>
    <w:p w14:paraId="34EE720C" w14:textId="77777777" w:rsidR="00C914E9" w:rsidRDefault="00C914E9" w:rsidP="00C914E9">
      <w:pPr>
        <w:numPr>
          <w:ilvl w:val="0"/>
          <w:numId w:val="2"/>
        </w:numPr>
        <w:spacing w:line="360" w:lineRule="atLeast"/>
        <w:ind w:left="480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lastRenderedPageBreak/>
        <w:t>la </w:t>
      </w:r>
      <w:r>
        <w:rPr>
          <w:rStyle w:val="Textoennegrita"/>
          <w:rFonts w:ascii="inherit" w:hAnsi="inherit" w:cs="Arial"/>
          <w:color w:val="131418"/>
          <w:sz w:val="21"/>
          <w:szCs w:val="21"/>
        </w:rPr>
        <w:t>manifestación de la</w:t>
      </w:r>
      <w:r>
        <w:rPr>
          <w:rFonts w:ascii="inherit" w:hAnsi="inherit" w:cs="Arial"/>
          <w:color w:val="343843"/>
          <w:sz w:val="21"/>
          <w:szCs w:val="21"/>
        </w:rPr>
        <w:t> </w:t>
      </w:r>
      <w:r>
        <w:rPr>
          <w:rStyle w:val="Textoennegrita"/>
          <w:rFonts w:ascii="inherit" w:hAnsi="inherit" w:cs="Arial"/>
          <w:color w:val="131418"/>
          <w:sz w:val="21"/>
          <w:szCs w:val="21"/>
        </w:rPr>
        <w:t>capacidad de las partes</w:t>
      </w:r>
      <w:r>
        <w:rPr>
          <w:rFonts w:ascii="inherit" w:hAnsi="inherit" w:cs="Arial"/>
          <w:color w:val="343843"/>
          <w:sz w:val="21"/>
          <w:szCs w:val="21"/>
        </w:rPr>
        <w:t> para firmar este contrato (en el caso de los contratos importantes o inhabituales en el tráfico jurídico, no la tienen los menores no emancipados ni los incapacitados judicialmente);</w:t>
      </w:r>
    </w:p>
    <w:p w14:paraId="3A9A0C01" w14:textId="77777777" w:rsidR="00C914E9" w:rsidRDefault="00C914E9" w:rsidP="00C914E9">
      <w:pPr>
        <w:numPr>
          <w:ilvl w:val="0"/>
          <w:numId w:val="2"/>
        </w:numPr>
        <w:spacing w:line="360" w:lineRule="atLeast"/>
        <w:ind w:left="480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t>la </w:t>
      </w:r>
      <w:r>
        <w:rPr>
          <w:rStyle w:val="Textoennegrita"/>
          <w:rFonts w:ascii="inherit" w:hAnsi="inherit" w:cs="Arial"/>
          <w:color w:val="131418"/>
          <w:sz w:val="21"/>
          <w:szCs w:val="21"/>
        </w:rPr>
        <w:t>descripción del bien objeto de la compraventa</w:t>
      </w:r>
      <w:r>
        <w:rPr>
          <w:rFonts w:ascii="inherit" w:hAnsi="inherit" w:cs="Arial"/>
          <w:color w:val="343843"/>
          <w:sz w:val="21"/>
          <w:szCs w:val="21"/>
        </w:rPr>
        <w:t> (el objeto vendido y comprado). El objeto debe ser determinado y estar en el comercio (se excluyen, por ejemplo, los órganos o los objetos contrarios al orden público). Por otro lado, el objeto podrá ser un bien inmueble (p. ej. una vivienda, un terreno, etc.) o un bien mueble (p. ej. un ordenador, un barco, etc.).</w:t>
      </w:r>
    </w:p>
    <w:p w14:paraId="42CB4D71" w14:textId="77777777" w:rsidR="00C914E9" w:rsidRDefault="00C914E9" w:rsidP="00C914E9">
      <w:pPr>
        <w:numPr>
          <w:ilvl w:val="0"/>
          <w:numId w:val="2"/>
        </w:numPr>
        <w:spacing w:line="360" w:lineRule="atLeast"/>
        <w:ind w:left="480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t>la </w:t>
      </w:r>
      <w:r>
        <w:rPr>
          <w:rStyle w:val="Textoennegrita"/>
          <w:rFonts w:ascii="inherit" w:hAnsi="inherit" w:cs="Arial"/>
          <w:color w:val="131418"/>
          <w:sz w:val="21"/>
          <w:szCs w:val="21"/>
        </w:rPr>
        <w:t>información sobre la situación del bien</w:t>
      </w:r>
      <w:r>
        <w:rPr>
          <w:rFonts w:ascii="inherit" w:hAnsi="inherit" w:cs="Arial"/>
          <w:color w:val="343843"/>
          <w:sz w:val="21"/>
          <w:szCs w:val="21"/>
        </w:rPr>
        <w:t> (estado físico, la existencia de posibles hipotecas o prendas sobre el mismo, de embargos, etc.)</w:t>
      </w:r>
    </w:p>
    <w:p w14:paraId="0C66C20B" w14:textId="77777777" w:rsidR="00C914E9" w:rsidRDefault="00C914E9" w:rsidP="00C914E9">
      <w:pPr>
        <w:numPr>
          <w:ilvl w:val="0"/>
          <w:numId w:val="2"/>
        </w:numPr>
        <w:spacing w:line="360" w:lineRule="atLeast"/>
        <w:ind w:left="480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t>el </w:t>
      </w:r>
      <w:r>
        <w:rPr>
          <w:rStyle w:val="Textoennegrita"/>
          <w:rFonts w:ascii="inherit" w:hAnsi="inherit" w:cs="Arial"/>
          <w:color w:val="131418"/>
          <w:sz w:val="21"/>
          <w:szCs w:val="21"/>
        </w:rPr>
        <w:t>precio</w:t>
      </w:r>
      <w:r>
        <w:rPr>
          <w:rFonts w:ascii="inherit" w:hAnsi="inherit" w:cs="Arial"/>
          <w:color w:val="343843"/>
          <w:sz w:val="21"/>
          <w:szCs w:val="21"/>
        </w:rPr>
        <w:t> acordado por las partes;</w:t>
      </w:r>
    </w:p>
    <w:p w14:paraId="5D2ED93D" w14:textId="77777777" w:rsidR="00C914E9" w:rsidRDefault="00C914E9" w:rsidP="00C914E9">
      <w:pPr>
        <w:numPr>
          <w:ilvl w:val="0"/>
          <w:numId w:val="2"/>
        </w:numPr>
        <w:spacing w:line="360" w:lineRule="atLeast"/>
        <w:ind w:left="480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t>la </w:t>
      </w:r>
      <w:r>
        <w:rPr>
          <w:rStyle w:val="Textoennegrita"/>
          <w:rFonts w:ascii="inherit" w:hAnsi="inherit" w:cs="Arial"/>
          <w:color w:val="131418"/>
          <w:sz w:val="21"/>
          <w:szCs w:val="21"/>
        </w:rPr>
        <w:t>fecha </w:t>
      </w:r>
      <w:r>
        <w:rPr>
          <w:rFonts w:ascii="inherit" w:hAnsi="inherit" w:cs="Arial"/>
          <w:color w:val="343843"/>
          <w:sz w:val="21"/>
          <w:szCs w:val="21"/>
        </w:rPr>
        <w:t>y</w:t>
      </w:r>
      <w:r>
        <w:rPr>
          <w:rStyle w:val="Textoennegrita"/>
          <w:rFonts w:ascii="inherit" w:hAnsi="inherit" w:cs="Arial"/>
          <w:color w:val="131418"/>
          <w:sz w:val="21"/>
          <w:szCs w:val="21"/>
        </w:rPr>
        <w:t> forma de entrega</w:t>
      </w:r>
      <w:r>
        <w:rPr>
          <w:rFonts w:ascii="inherit" w:hAnsi="inherit" w:cs="Arial"/>
          <w:color w:val="343843"/>
          <w:sz w:val="21"/>
          <w:szCs w:val="21"/>
        </w:rPr>
        <w:t> del bien; y,</w:t>
      </w:r>
    </w:p>
    <w:p w14:paraId="6950F0AB" w14:textId="77777777" w:rsidR="00C914E9" w:rsidRDefault="00C914E9" w:rsidP="00C914E9">
      <w:pPr>
        <w:numPr>
          <w:ilvl w:val="0"/>
          <w:numId w:val="2"/>
        </w:numPr>
        <w:spacing w:line="360" w:lineRule="atLeast"/>
        <w:ind w:left="480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t>la descripción de las posibles </w:t>
      </w:r>
      <w:r>
        <w:rPr>
          <w:rStyle w:val="Textoennegrita"/>
          <w:rFonts w:ascii="inherit" w:hAnsi="inherit" w:cs="Arial"/>
          <w:color w:val="131418"/>
          <w:sz w:val="21"/>
          <w:szCs w:val="21"/>
        </w:rPr>
        <w:t>garantías sobre el bien</w:t>
      </w:r>
      <w:r>
        <w:rPr>
          <w:rFonts w:ascii="inherit" w:hAnsi="inherit" w:cs="Arial"/>
          <w:color w:val="343843"/>
          <w:sz w:val="21"/>
          <w:szCs w:val="21"/>
        </w:rPr>
        <w:t>.</w:t>
      </w:r>
    </w:p>
    <w:p w14:paraId="612DC575" w14:textId="77777777" w:rsidR="00C914E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proofErr w:type="spellStart"/>
      <w:r>
        <w:rPr>
          <w:rFonts w:ascii="inherit" w:hAnsi="inherit" w:cs="Arial"/>
          <w:color w:val="343843"/>
          <w:sz w:val="21"/>
          <w:szCs w:val="21"/>
        </w:rPr>
        <w:t>Una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vez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que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objeto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ha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sido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determinado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precio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establecido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y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las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partes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están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acuerdo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se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perfecciona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contrato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compraventa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y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posible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redactar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este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documento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y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firmarlo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.</w:t>
      </w:r>
    </w:p>
    <w:p w14:paraId="33FD0494" w14:textId="77777777" w:rsidR="00C914E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t xml:space="preserve">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vendedor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tiene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la 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obligación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 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proporcionarle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al comprador, antes de la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conclusión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contrato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una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serie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 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informaciones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> </w:t>
      </w:r>
      <w:r>
        <w:rPr>
          <w:rFonts w:ascii="inherit" w:hAnsi="inherit" w:cs="Arial"/>
          <w:color w:val="343843"/>
          <w:sz w:val="21"/>
          <w:szCs w:val="21"/>
        </w:rPr>
        <w:t xml:space="preserve">para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permitir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que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pueda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conocer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las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características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esenciales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bien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antes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firmar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contrato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.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Estas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obligaciones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se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acentúan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en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caso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los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contratos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entre un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profesional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(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vendedor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profesional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dedicado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a la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compraventa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bienes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o 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su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distribución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) y un particular (persona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que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desea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adquirir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bien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para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su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uso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personal).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Por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ejemplo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estos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contratos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serían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los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firmados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entre un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concesionario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coches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o un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distribuidor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bicicletas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y un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cliente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que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usará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estos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bienes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para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actividades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distintas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las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que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se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dedica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profesionalmente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. En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este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caso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contrato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quedaría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sujeto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a la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normativa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especial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protección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los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consumidores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con el fin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conseguir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que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los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consumidores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otorguen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su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consentimiento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informado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.</w:t>
      </w:r>
    </w:p>
    <w:p w14:paraId="0CA56AE6" w14:textId="77777777" w:rsidR="00C914E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proofErr w:type="spellStart"/>
      <w:r>
        <w:rPr>
          <w:rFonts w:ascii="inherit" w:hAnsi="inherit" w:cs="Arial"/>
          <w:color w:val="343843"/>
          <w:sz w:val="21"/>
          <w:szCs w:val="21"/>
        </w:rPr>
        <w:t>Además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vendedor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está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obligado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a la 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entrega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del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bien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 y al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saneamiento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la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cosa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objeto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la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venta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(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tanto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sus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vicios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ocultos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como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su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posesión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legal y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pacífica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).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esta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forma,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vendedor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deberá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garantizar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que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el comprador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pueda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hacer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uso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adecuado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los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bienes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adquiridos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debiendo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responder en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aquellos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casos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en los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que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existan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 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problemas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técnicos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> </w:t>
      </w:r>
      <w:r>
        <w:rPr>
          <w:rFonts w:ascii="inherit" w:hAnsi="inherit" w:cs="Arial"/>
          <w:color w:val="343843"/>
          <w:sz w:val="21"/>
          <w:szCs w:val="21"/>
        </w:rPr>
        <w:t>o</w:t>
      </w:r>
      <w:r>
        <w:rPr>
          <w:rStyle w:val="Textoennegrita"/>
          <w:rFonts w:ascii="inherit" w:hAnsi="inherit" w:cs="Arial"/>
          <w:color w:val="131418"/>
          <w:sz w:val="21"/>
          <w:szCs w:val="21"/>
        </w:rPr>
        <w:t> 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defectos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 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que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no se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hayan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podido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detectar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por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el comprador en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momento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su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adquisición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y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que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se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hayan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desarrollado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con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anterioridad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a la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venta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.</w:t>
      </w:r>
    </w:p>
    <w:p w14:paraId="4102B7D2" w14:textId="77777777" w:rsidR="00C914E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proofErr w:type="spellStart"/>
      <w:r>
        <w:rPr>
          <w:rFonts w:ascii="inherit" w:hAnsi="inherit" w:cs="Arial"/>
          <w:color w:val="343843"/>
          <w:sz w:val="21"/>
          <w:szCs w:val="21"/>
        </w:rPr>
        <w:t>Por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su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parte, el comprador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está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obligado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a 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recibir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el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bien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 y a 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pagar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el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precio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 en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tiempo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y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lugar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previstos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. Este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pago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puede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hacerse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al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momento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la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entrega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la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cosa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("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pago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al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contado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") o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más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tarde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por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ejemplo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en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varios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plazos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.</w:t>
      </w:r>
    </w:p>
    <w:p w14:paraId="2052CAF5" w14:textId="77777777" w:rsidR="00C914E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proofErr w:type="spellStart"/>
      <w:r>
        <w:rPr>
          <w:rFonts w:ascii="inherit" w:hAnsi="inherit" w:cs="Arial"/>
          <w:color w:val="343843"/>
          <w:sz w:val="21"/>
          <w:szCs w:val="21"/>
        </w:rPr>
        <w:t>Una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vez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han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sido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indicadas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todas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la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informaciones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necesarias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las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partes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deberán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 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firmar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 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documento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. Para un mayor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nivel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seguridad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las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firmas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han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figurar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no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sólo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en la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sección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final del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documento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sino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también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en el 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borde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izquierdo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de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cada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página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que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compone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el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documento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incluyendo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en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su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caso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las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páginas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los 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anexos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 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que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también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formarán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parte del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contrato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.</w:t>
      </w:r>
    </w:p>
    <w:p w14:paraId="2340E06A" w14:textId="77777777" w:rsidR="00C914E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br/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Legislación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aplicable</w:t>
      </w:r>
      <w:proofErr w:type="spellEnd"/>
    </w:p>
    <w:p w14:paraId="0AEDF9F5" w14:textId="77777777" w:rsidR="00C914E9" w:rsidRDefault="00C914E9" w:rsidP="00C914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t xml:space="preserve">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manera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general,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contrato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compraventa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se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rige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por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Título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IV del </w:t>
      </w:r>
      <w:hyperlink r:id="rId5" w:history="1">
        <w:proofErr w:type="spellStart"/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>Código</w:t>
        </w:r>
        <w:proofErr w:type="spellEnd"/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 xml:space="preserve"> civil</w:t>
        </w:r>
      </w:hyperlink>
      <w:r>
        <w:rPr>
          <w:rFonts w:ascii="inherit" w:hAnsi="inherit" w:cs="Arial"/>
          <w:color w:val="3438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decir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por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sus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artículos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1445 y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siguientes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.</w:t>
      </w:r>
    </w:p>
    <w:p w14:paraId="669AEF5D" w14:textId="77777777" w:rsidR="00C914E9" w:rsidRDefault="00C914E9" w:rsidP="00C914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proofErr w:type="spellStart"/>
      <w:r>
        <w:rPr>
          <w:rFonts w:ascii="inherit" w:hAnsi="inherit" w:cs="Arial"/>
          <w:color w:val="343843"/>
          <w:sz w:val="21"/>
          <w:szCs w:val="21"/>
        </w:rPr>
        <w:t>Además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si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el comprador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un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consumidor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se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aplica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Texto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refundido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la </w:t>
      </w:r>
      <w:hyperlink r:id="rId6" w:history="1"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 xml:space="preserve">Ley General para la </w:t>
        </w:r>
        <w:proofErr w:type="spellStart"/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>Defensa</w:t>
        </w:r>
        <w:proofErr w:type="spellEnd"/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 xml:space="preserve"> de los </w:t>
        </w:r>
        <w:proofErr w:type="spellStart"/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>Consumidores</w:t>
        </w:r>
        <w:proofErr w:type="spellEnd"/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 xml:space="preserve"> y </w:t>
        </w:r>
        <w:proofErr w:type="spellStart"/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>Usuarios</w:t>
        </w:r>
        <w:proofErr w:type="spellEnd"/>
      </w:hyperlink>
      <w:r>
        <w:rPr>
          <w:rFonts w:ascii="inherit" w:hAnsi="inherit" w:cs="Arial"/>
          <w:color w:val="3438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especialmente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en lo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referente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a la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obligación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proporcionarle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información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precontractual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(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artículo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60 y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siguientes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y 97 y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siguientes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), y 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las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garantías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y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servicios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postventa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(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artículos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114 y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siguientes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).</w:t>
      </w:r>
    </w:p>
    <w:p w14:paraId="60DDA7F0" w14:textId="77777777" w:rsidR="00C914E9" w:rsidRDefault="00C914E9" w:rsidP="00C914E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proofErr w:type="spellStart"/>
      <w:r>
        <w:rPr>
          <w:rFonts w:ascii="inherit" w:hAnsi="inherit" w:cs="Arial"/>
          <w:color w:val="343843"/>
          <w:sz w:val="21"/>
          <w:szCs w:val="21"/>
        </w:rPr>
        <w:t>Por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otra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parte, a los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contratos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compraventa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bienes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muebles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en los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que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pago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precio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se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aplaza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por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un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período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superior 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tres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meses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y el comprador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un particular,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aplicable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la </w:t>
      </w:r>
      <w:hyperlink r:id="rId7" w:history="1"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 xml:space="preserve">Ley 28/1998, de 13 de </w:t>
        </w:r>
        <w:proofErr w:type="spellStart"/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>julio</w:t>
        </w:r>
        <w:proofErr w:type="spellEnd"/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 xml:space="preserve">, de </w:t>
        </w:r>
        <w:proofErr w:type="spellStart"/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>venta</w:t>
        </w:r>
        <w:proofErr w:type="spellEnd"/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 xml:space="preserve"> a </w:t>
        </w:r>
        <w:proofErr w:type="spellStart"/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>Plazos</w:t>
        </w:r>
        <w:proofErr w:type="spellEnd"/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 xml:space="preserve"> de </w:t>
        </w:r>
        <w:proofErr w:type="spellStart"/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>Bienes</w:t>
        </w:r>
        <w:proofErr w:type="spellEnd"/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inherit" w:hAnsi="inherit" w:cs="Arial"/>
            <w:color w:val="660099"/>
            <w:sz w:val="21"/>
            <w:szCs w:val="21"/>
            <w:bdr w:val="none" w:sz="0" w:space="0" w:color="auto" w:frame="1"/>
          </w:rPr>
          <w:t>Muebles</w:t>
        </w:r>
        <w:proofErr w:type="spellEnd"/>
      </w:hyperlink>
      <w:r>
        <w:rPr>
          <w:rFonts w:ascii="inherit" w:hAnsi="inherit" w:cs="Arial"/>
          <w:color w:val="343843"/>
          <w:sz w:val="21"/>
          <w:szCs w:val="21"/>
        </w:rPr>
        <w:t>.</w:t>
      </w:r>
    </w:p>
    <w:p w14:paraId="32808445" w14:textId="77777777" w:rsidR="00C914E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br/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Ayuda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de un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abogado</w:t>
      </w:r>
      <w:proofErr w:type="spellEnd"/>
    </w:p>
    <w:p w14:paraId="075F1BFE" w14:textId="77777777" w:rsidR="00C914E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proofErr w:type="spellStart"/>
      <w:r>
        <w:rPr>
          <w:rFonts w:ascii="inherit" w:hAnsi="inherit" w:cs="Arial"/>
          <w:color w:val="343843"/>
          <w:sz w:val="21"/>
          <w:szCs w:val="21"/>
        </w:rPr>
        <w:t>También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tienes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la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opción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 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consultar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a un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abogado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si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necesitas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ayuda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.</w:t>
      </w:r>
    </w:p>
    <w:p w14:paraId="66C19957" w14:textId="77777777" w:rsidR="00C914E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t xml:space="preserve">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abogado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puede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contestar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tus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preguntas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o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ayudarte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en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tus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trámites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. Al final de la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creación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documento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se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ofrecerá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esta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opción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.</w:t>
      </w:r>
    </w:p>
    <w:p w14:paraId="2C24960B" w14:textId="77777777" w:rsidR="00C914E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br/>
      </w:r>
      <w:r>
        <w:rPr>
          <w:rStyle w:val="Textoennegrita"/>
          <w:rFonts w:ascii="inherit" w:hAnsi="inherit" w:cs="Arial"/>
          <w:color w:val="131418"/>
          <w:sz w:val="21"/>
          <w:szCs w:val="21"/>
        </w:rPr>
        <w:t>¿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Cómo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modificar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el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modelo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>?</w:t>
      </w:r>
    </w:p>
    <w:p w14:paraId="129CEC01" w14:textId="77777777" w:rsidR="00C914E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proofErr w:type="spellStart"/>
      <w:r>
        <w:rPr>
          <w:rFonts w:ascii="inherit" w:hAnsi="inherit" w:cs="Arial"/>
          <w:color w:val="343843"/>
          <w:sz w:val="21"/>
          <w:szCs w:val="21"/>
        </w:rPr>
        <w:t>Rellenas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un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formulario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. El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documento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se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va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redactando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ante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tus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ojos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en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función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de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tus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respuestas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.</w:t>
      </w:r>
    </w:p>
    <w:p w14:paraId="2916AB32" w14:textId="77777777" w:rsidR="00C914E9" w:rsidRDefault="00C914E9" w:rsidP="00C914E9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inherit" w:hAnsi="inherit" w:cs="Arial"/>
          <w:color w:val="343843"/>
          <w:sz w:val="21"/>
          <w:szCs w:val="21"/>
        </w:rPr>
      </w:pPr>
      <w:r>
        <w:rPr>
          <w:rFonts w:ascii="inherit" w:hAnsi="inherit" w:cs="Arial"/>
          <w:color w:val="343843"/>
          <w:sz w:val="21"/>
          <w:szCs w:val="21"/>
        </w:rPr>
        <w:t xml:space="preserve">Al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finalizar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, lo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recibirás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gratuitamente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 xml:space="preserve"> en los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formatos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 </w:t>
      </w:r>
      <w:r>
        <w:rPr>
          <w:rStyle w:val="Textoennegrita"/>
          <w:rFonts w:ascii="inherit" w:hAnsi="inherit" w:cs="Arial"/>
          <w:color w:val="131418"/>
          <w:sz w:val="21"/>
          <w:szCs w:val="21"/>
        </w:rPr>
        <w:t>Word y PDF</w:t>
      </w:r>
      <w:r>
        <w:rPr>
          <w:rFonts w:ascii="inherit" w:hAnsi="inherit" w:cs="Arial"/>
          <w:color w:val="343843"/>
          <w:sz w:val="21"/>
          <w:szCs w:val="21"/>
        </w:rPr>
        <w:t xml:space="preserve">. </w:t>
      </w:r>
      <w:proofErr w:type="spellStart"/>
      <w:r>
        <w:rPr>
          <w:rFonts w:ascii="inherit" w:hAnsi="inherit" w:cs="Arial"/>
          <w:color w:val="343843"/>
          <w:sz w:val="21"/>
          <w:szCs w:val="21"/>
        </w:rPr>
        <w:t>Puedes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 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modificarlo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 y 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volver</w:t>
      </w:r>
      <w:proofErr w:type="spellEnd"/>
      <w:r>
        <w:rPr>
          <w:rStyle w:val="Textoennegrita"/>
          <w:rFonts w:ascii="inherit" w:hAnsi="inherit" w:cs="Arial"/>
          <w:color w:val="131418"/>
          <w:sz w:val="21"/>
          <w:szCs w:val="21"/>
        </w:rPr>
        <w:t xml:space="preserve"> a </w:t>
      </w:r>
      <w:proofErr w:type="spellStart"/>
      <w:r>
        <w:rPr>
          <w:rStyle w:val="Textoennegrita"/>
          <w:rFonts w:ascii="inherit" w:hAnsi="inherit" w:cs="Arial"/>
          <w:color w:val="131418"/>
          <w:sz w:val="21"/>
          <w:szCs w:val="21"/>
        </w:rPr>
        <w:t>utilizarlo</w:t>
      </w:r>
      <w:proofErr w:type="spellEnd"/>
      <w:r>
        <w:rPr>
          <w:rFonts w:ascii="inherit" w:hAnsi="inherit" w:cs="Arial"/>
          <w:color w:val="343843"/>
          <w:sz w:val="21"/>
          <w:szCs w:val="21"/>
        </w:rPr>
        <w:t>.</w:t>
      </w:r>
    </w:p>
    <w:p w14:paraId="65B265EB" w14:textId="77777777" w:rsidR="00C914E9" w:rsidRPr="00A20819" w:rsidRDefault="00C914E9" w:rsidP="00C914E9"/>
    <w:p w14:paraId="07FCD086" w14:textId="77777777" w:rsidR="006D4FAE" w:rsidRDefault="006D4FAE"/>
    <w:sectPr w:rsidR="006D4FAE" w:rsidSect="00BE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D08BD"/>
    <w:multiLevelType w:val="multilevel"/>
    <w:tmpl w:val="C2B0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C6289C"/>
    <w:multiLevelType w:val="multilevel"/>
    <w:tmpl w:val="46B8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E9"/>
    <w:rsid w:val="00361628"/>
    <w:rsid w:val="006D4FAE"/>
    <w:rsid w:val="0077684F"/>
    <w:rsid w:val="00A96839"/>
    <w:rsid w:val="00C9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B25D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4E9"/>
  </w:style>
  <w:style w:type="paragraph" w:styleId="Ttulo2">
    <w:name w:val="heading 2"/>
    <w:basedOn w:val="Normal"/>
    <w:link w:val="Ttulo2Car"/>
    <w:uiPriority w:val="9"/>
    <w:qFormat/>
    <w:rsid w:val="00C914E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14E9"/>
    <w:rPr>
      <w:rFonts w:ascii="Times New Roman" w:hAnsi="Times New Roman" w:cs="Times New Roman"/>
      <w:b/>
      <w:bCs/>
      <w:sz w:val="36"/>
      <w:szCs w:val="36"/>
      <w:lang w:val="en-US"/>
    </w:rPr>
  </w:style>
  <w:style w:type="character" w:styleId="Hipervnculo">
    <w:name w:val="Hyperlink"/>
    <w:basedOn w:val="Fuentedeprrafopredeter"/>
    <w:uiPriority w:val="99"/>
    <w:unhideWhenUsed/>
    <w:rsid w:val="00C914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14E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Textoennegrita">
    <w:name w:val="Strong"/>
    <w:basedOn w:val="Fuentedeprrafopredeter"/>
    <w:uiPriority w:val="22"/>
    <w:qFormat/>
    <w:rsid w:val="00C91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8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oe.es/buscar/act.php?id=BOE-A-1889-4763" TargetMode="External"/><Relationship Id="rId6" Type="http://schemas.openxmlformats.org/officeDocument/2006/relationships/hyperlink" Target="https://www.boe.es/buscar/act.php?id=BOE-A-2007-20555" TargetMode="External"/><Relationship Id="rId7" Type="http://schemas.openxmlformats.org/officeDocument/2006/relationships/hyperlink" Target="https://www.boe.es/buscar/act.php?id=BOE-A-1998-1671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1005</Words>
  <Characters>5530</Characters>
  <Application>Microsoft Macintosh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Contrato de compraventa de bienes</vt:lpstr>
    </vt:vector>
  </TitlesOfParts>
  <LinksUpToDate>false</LinksUpToDate>
  <CharactersWithSpaces>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2020-03-23T13:21:00Z</dcterms:created>
  <dcterms:modified xsi:type="dcterms:W3CDTF">2020-03-23T13:49:00Z</dcterms:modified>
</cp:coreProperties>
</file>