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566C0" w14:textId="77777777" w:rsidR="00A20819" w:rsidRDefault="00A20819" w:rsidP="00A20819">
      <w:pPr>
        <w:pStyle w:val="Heading2"/>
        <w:shd w:val="clear" w:color="auto" w:fill="FFFFFF"/>
        <w:spacing w:before="0" w:beforeAutospacing="0" w:after="240" w:afterAutospacing="0" w:line="360" w:lineRule="atLeast"/>
        <w:textAlignment w:val="baseline"/>
        <w:rPr>
          <w:rFonts w:ascii="Arial" w:hAnsi="Arial" w:cs="Arial"/>
          <w:b w:val="0"/>
          <w:bCs w:val="0"/>
          <w:color w:val="343843"/>
          <w:sz w:val="34"/>
          <w:szCs w:val="34"/>
          <w:lang w:val="es-SP"/>
        </w:rPr>
      </w:pPr>
      <w:r w:rsidRPr="00A20819">
        <w:rPr>
          <w:rFonts w:ascii="Arial" w:hAnsi="Arial" w:cs="Arial"/>
          <w:b w:val="0"/>
          <w:bCs w:val="0"/>
          <w:color w:val="343843"/>
          <w:sz w:val="34"/>
          <w:szCs w:val="34"/>
          <w:lang w:val="es-ES"/>
        </w:rPr>
        <w:t>Contrato de compraventa de bienes</w:t>
      </w:r>
    </w:p>
    <w:p w14:paraId="4E0392B0" w14:textId="77777777" w:rsidR="00A20819" w:rsidRP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A20819">
        <w:rPr>
          <w:rFonts w:ascii="inherit" w:hAnsi="inherit" w:cs="Arial"/>
          <w:color w:val="343843"/>
          <w:sz w:val="21"/>
          <w:szCs w:val="21"/>
          <w:lang w:val="es-ES"/>
        </w:rPr>
        <w:t>El </w:t>
      </w:r>
      <w:r w:rsidRPr="00A20819">
        <w:rPr>
          <w:rStyle w:val="Strong"/>
          <w:rFonts w:ascii="inherit" w:hAnsi="inherit" w:cs="Arial"/>
          <w:color w:val="131418"/>
          <w:sz w:val="21"/>
          <w:szCs w:val="21"/>
          <w:lang w:val="es-ES"/>
        </w:rPr>
        <w:t>contrato de compraventa</w:t>
      </w:r>
      <w:r w:rsidRPr="00A20819">
        <w:rPr>
          <w:rFonts w:ascii="inherit" w:hAnsi="inherit" w:cs="Arial"/>
          <w:color w:val="343843"/>
          <w:sz w:val="21"/>
          <w:szCs w:val="21"/>
          <w:lang w:val="es-ES"/>
        </w:rPr>
        <w:t> es un contrato por el cual el vendedor se obliga a entregar una cosa, a cambio del pago de un precio por el comprador.</w:t>
      </w:r>
    </w:p>
    <w:p w14:paraId="7A1F59F4" w14:textId="77777777" w:rsidR="00A20819" w:rsidRPr="00A20819" w:rsidRDefault="00A20819" w:rsidP="00A20819">
      <w:pPr>
        <w:pStyle w:val="NormalWeb"/>
        <w:shd w:val="clear" w:color="auto" w:fill="FFFFFF"/>
        <w:spacing w:before="0" w:beforeAutospacing="0" w:after="0" w:afterAutospacing="0" w:line="360" w:lineRule="atLeast"/>
        <w:textAlignment w:val="baseline"/>
        <w:rPr>
          <w:rFonts w:ascii="inherit" w:hAnsi="inherit" w:cs="Arial"/>
          <w:color w:val="343843"/>
          <w:sz w:val="21"/>
          <w:szCs w:val="21"/>
          <w:lang w:val="es-ES"/>
        </w:rPr>
      </w:pPr>
      <w:r w:rsidRPr="00A20819">
        <w:rPr>
          <w:rFonts w:ascii="inherit" w:hAnsi="inherit" w:cs="Arial"/>
          <w:color w:val="343843"/>
          <w:sz w:val="21"/>
          <w:szCs w:val="21"/>
          <w:lang w:val="es-ES"/>
        </w:rPr>
        <w:t>Este modelo sirve para formalizar en documento privado la venta de todo tipo de bienes. Sin embargo, si el objeto de la venta es un vehículo y tanto vendedor como comprador son particulares (es decir, personas que actúan con un propósito ajeno a su actividad comercial, empresarial, oficio o profesión), se debe utilizar el </w:t>
      </w:r>
      <w:hyperlink r:id="rId5" w:history="1">
        <w:r w:rsidRPr="00A20819">
          <w:rPr>
            <w:rStyle w:val="Hyperlink"/>
            <w:rFonts w:ascii="inherit" w:hAnsi="inherit" w:cs="Arial"/>
            <w:color w:val="660099"/>
            <w:sz w:val="21"/>
            <w:szCs w:val="21"/>
            <w:bdr w:val="none" w:sz="0" w:space="0" w:color="auto" w:frame="1"/>
            <w:lang w:val="es-ES"/>
          </w:rPr>
          <w:t>contrato de compraventa de vehículo entre particulares</w:t>
        </w:r>
      </w:hyperlink>
      <w:r w:rsidRPr="00A20819">
        <w:rPr>
          <w:rFonts w:ascii="inherit" w:hAnsi="inherit" w:cs="Arial"/>
          <w:color w:val="343843"/>
          <w:sz w:val="21"/>
          <w:szCs w:val="21"/>
          <w:lang w:val="es-ES"/>
        </w:rPr>
        <w:t>, documento que se encuentra mejor adaptado a este caso.</w:t>
      </w:r>
    </w:p>
    <w:p w14:paraId="1FCAD4B0" w14:textId="77777777" w:rsidR="00A20819" w:rsidRPr="00A20819" w:rsidRDefault="00A20819" w:rsidP="00A20819">
      <w:pPr>
        <w:pStyle w:val="NormalWeb"/>
        <w:shd w:val="clear" w:color="auto" w:fill="FFFFFF"/>
        <w:spacing w:before="0" w:beforeAutospacing="0" w:after="0" w:afterAutospacing="0" w:line="360" w:lineRule="atLeast"/>
        <w:textAlignment w:val="baseline"/>
        <w:rPr>
          <w:rFonts w:ascii="inherit" w:hAnsi="inherit" w:cs="Arial"/>
          <w:color w:val="343843"/>
          <w:sz w:val="21"/>
          <w:szCs w:val="21"/>
          <w:lang w:val="es-ES"/>
        </w:rPr>
      </w:pPr>
      <w:r w:rsidRPr="00A20819">
        <w:rPr>
          <w:rFonts w:ascii="inherit" w:hAnsi="inherit" w:cs="Arial"/>
          <w:color w:val="343843"/>
          <w:sz w:val="21"/>
          <w:szCs w:val="21"/>
          <w:lang w:val="es-ES"/>
        </w:rPr>
        <w:t>En cambio, si el objeto del contrato es la prestación de un servicio, se debe utilizar el </w:t>
      </w:r>
      <w:hyperlink r:id="rId6" w:history="1">
        <w:r w:rsidRPr="00A20819">
          <w:rPr>
            <w:rStyle w:val="Hyperlink"/>
            <w:rFonts w:ascii="inherit" w:hAnsi="inherit" w:cs="Arial"/>
            <w:color w:val="660099"/>
            <w:sz w:val="21"/>
            <w:szCs w:val="21"/>
            <w:bdr w:val="none" w:sz="0" w:space="0" w:color="auto" w:frame="1"/>
            <w:lang w:val="es-ES"/>
          </w:rPr>
          <w:t>contrato de prestación de servicios</w:t>
        </w:r>
      </w:hyperlink>
      <w:r w:rsidRPr="00A20819">
        <w:rPr>
          <w:rFonts w:ascii="inherit" w:hAnsi="inherit" w:cs="Arial"/>
          <w:color w:val="343843"/>
          <w:sz w:val="21"/>
          <w:szCs w:val="21"/>
          <w:lang w:val="es-ES"/>
        </w:rPr>
        <w:t>, y si es la ejecución de una obra, el </w:t>
      </w:r>
      <w:hyperlink r:id="rId7" w:history="1">
        <w:r w:rsidRPr="00A20819">
          <w:rPr>
            <w:rStyle w:val="Hyperlink"/>
            <w:rFonts w:ascii="inherit" w:hAnsi="inherit" w:cs="Arial"/>
            <w:color w:val="660099"/>
            <w:sz w:val="21"/>
            <w:szCs w:val="21"/>
            <w:bdr w:val="none" w:sz="0" w:space="0" w:color="auto" w:frame="1"/>
            <w:lang w:val="es-ES"/>
          </w:rPr>
          <w:t>contrato de arrendamiento de obra</w:t>
        </w:r>
      </w:hyperlink>
      <w:r w:rsidRPr="00A20819">
        <w:rPr>
          <w:rFonts w:ascii="inherit" w:hAnsi="inherit" w:cs="Arial"/>
          <w:color w:val="343843"/>
          <w:sz w:val="21"/>
          <w:szCs w:val="21"/>
          <w:lang w:val="es-ES"/>
        </w:rPr>
        <w:t>. Por otro lado, si lo único que se desea es </w:t>
      </w:r>
      <w:r w:rsidRPr="00A20819">
        <w:rPr>
          <w:rStyle w:val="Strong"/>
          <w:rFonts w:ascii="inherit" w:hAnsi="inherit" w:cs="Arial"/>
          <w:color w:val="131418"/>
          <w:sz w:val="21"/>
          <w:szCs w:val="21"/>
          <w:lang w:val="es-ES"/>
        </w:rPr>
        <w:t>realizar la reserva del bien</w:t>
      </w:r>
      <w:r w:rsidRPr="00A20819">
        <w:rPr>
          <w:rFonts w:ascii="inherit" w:hAnsi="inherit" w:cs="Arial"/>
          <w:color w:val="343843"/>
          <w:sz w:val="21"/>
          <w:szCs w:val="21"/>
          <w:lang w:val="es-ES"/>
        </w:rPr>
        <w:t> dejando la formalización de su compra para el futuro, se deberá completar el correspondiente </w:t>
      </w:r>
      <w:hyperlink r:id="rId8" w:history="1">
        <w:r w:rsidRPr="00A20819">
          <w:rPr>
            <w:rStyle w:val="Hyperlink"/>
            <w:rFonts w:ascii="inherit" w:hAnsi="inherit" w:cs="Arial"/>
            <w:color w:val="660099"/>
            <w:sz w:val="21"/>
            <w:szCs w:val="21"/>
            <w:bdr w:val="none" w:sz="0" w:space="0" w:color="auto" w:frame="1"/>
            <w:lang w:val="es-ES"/>
          </w:rPr>
          <w:t>contrato de promesa de compraventa</w:t>
        </w:r>
      </w:hyperlink>
      <w:r w:rsidRPr="00A20819">
        <w:rPr>
          <w:rFonts w:ascii="inherit" w:hAnsi="inherit" w:cs="Arial"/>
          <w:color w:val="343843"/>
          <w:sz w:val="21"/>
          <w:szCs w:val="21"/>
          <w:lang w:val="es-ES"/>
        </w:rPr>
        <w:t> en el caso de </w:t>
      </w:r>
      <w:r w:rsidRPr="00A20819">
        <w:rPr>
          <w:rStyle w:val="Strong"/>
          <w:rFonts w:ascii="inherit" w:hAnsi="inherit" w:cs="Arial"/>
          <w:color w:val="131418"/>
          <w:sz w:val="21"/>
          <w:szCs w:val="21"/>
          <w:lang w:val="es-ES"/>
        </w:rPr>
        <w:t>bienes muebles</w:t>
      </w:r>
      <w:r w:rsidRPr="00A20819">
        <w:rPr>
          <w:rFonts w:ascii="inherit" w:hAnsi="inherit" w:cs="Arial"/>
          <w:color w:val="343843"/>
          <w:sz w:val="21"/>
          <w:szCs w:val="21"/>
          <w:lang w:val="es-ES"/>
        </w:rPr>
        <w:t> (por ejemplo, un reloj, un mueble) o el </w:t>
      </w:r>
      <w:hyperlink r:id="rId9" w:history="1">
        <w:r w:rsidRPr="00A20819">
          <w:rPr>
            <w:rStyle w:val="Hyperlink"/>
            <w:rFonts w:ascii="inherit" w:hAnsi="inherit" w:cs="Arial"/>
            <w:color w:val="660099"/>
            <w:sz w:val="21"/>
            <w:szCs w:val="21"/>
            <w:bdr w:val="none" w:sz="0" w:space="0" w:color="auto" w:frame="1"/>
            <w:lang w:val="es-ES"/>
          </w:rPr>
          <w:t>contrato de arras penitenciales</w:t>
        </w:r>
      </w:hyperlink>
      <w:r w:rsidRPr="00A20819">
        <w:rPr>
          <w:rFonts w:ascii="inherit" w:hAnsi="inherit" w:cs="Arial"/>
          <w:color w:val="343843"/>
          <w:sz w:val="21"/>
          <w:szCs w:val="21"/>
          <w:lang w:val="es-ES"/>
        </w:rPr>
        <w:t> en el caso de </w:t>
      </w:r>
      <w:r w:rsidRPr="00A20819">
        <w:rPr>
          <w:rStyle w:val="Strong"/>
          <w:rFonts w:ascii="inherit" w:hAnsi="inherit" w:cs="Arial"/>
          <w:color w:val="131418"/>
          <w:sz w:val="21"/>
          <w:szCs w:val="21"/>
          <w:lang w:val="es-ES"/>
        </w:rPr>
        <w:t>bienes inmuebles</w:t>
      </w:r>
      <w:r w:rsidRPr="00A20819">
        <w:rPr>
          <w:rFonts w:ascii="inherit" w:hAnsi="inherit" w:cs="Arial"/>
          <w:color w:val="343843"/>
          <w:sz w:val="21"/>
          <w:szCs w:val="21"/>
          <w:lang w:val="es-ES"/>
        </w:rPr>
        <w:t> (por ejemplo, una vivienda, una plaza de garaje).</w:t>
      </w:r>
    </w:p>
    <w:p w14:paraId="434E1EE8" w14:textId="77777777" w:rsidR="00A20819" w:rsidRP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A20819">
        <w:rPr>
          <w:rFonts w:ascii="inherit" w:hAnsi="inherit" w:cs="Arial"/>
          <w:color w:val="343843"/>
          <w:sz w:val="21"/>
          <w:szCs w:val="21"/>
          <w:lang w:val="es-ES"/>
        </w:rPr>
        <w:t>El contrato de compraventa se puede formalizar de forma </w:t>
      </w:r>
      <w:r w:rsidRPr="00A20819">
        <w:rPr>
          <w:rStyle w:val="Strong"/>
          <w:rFonts w:ascii="inherit" w:hAnsi="inherit" w:cs="Arial"/>
          <w:color w:val="131418"/>
          <w:sz w:val="21"/>
          <w:szCs w:val="21"/>
          <w:lang w:val="es-ES"/>
        </w:rPr>
        <w:t>verbal</w:t>
      </w:r>
      <w:r w:rsidRPr="00A20819">
        <w:rPr>
          <w:rFonts w:ascii="inherit" w:hAnsi="inherit" w:cs="Arial"/>
          <w:color w:val="343843"/>
          <w:sz w:val="21"/>
          <w:szCs w:val="21"/>
          <w:lang w:val="es-ES"/>
        </w:rPr>
        <w:t> o </w:t>
      </w:r>
      <w:r w:rsidRPr="00A20819">
        <w:rPr>
          <w:rStyle w:val="Strong"/>
          <w:rFonts w:ascii="inherit" w:hAnsi="inherit" w:cs="Arial"/>
          <w:color w:val="131418"/>
          <w:sz w:val="21"/>
          <w:szCs w:val="21"/>
          <w:lang w:val="es-ES"/>
        </w:rPr>
        <w:t>por escrito</w:t>
      </w:r>
      <w:r w:rsidRPr="00A20819">
        <w:rPr>
          <w:rFonts w:ascii="inherit" w:hAnsi="inherit" w:cs="Arial"/>
          <w:color w:val="343843"/>
          <w:sz w:val="21"/>
          <w:szCs w:val="21"/>
          <w:lang w:val="es-ES"/>
        </w:rPr>
        <w:t>. En el caso de que se formalice por escrito, las obligaciones recogidas en el mismo podrán ser ejecutadas con más facilidad (se podrá demostrar su existencia de forma más clara frente a terceros) y servirá a efectos de prueba en caso de incumplimiento de alguna de las partes. Por otro lado, tanto los contratos de compraventa de muebles como los de inmuebles son válidos si se formalizan en </w:t>
      </w:r>
      <w:r w:rsidRPr="00A20819">
        <w:rPr>
          <w:rStyle w:val="Strong"/>
          <w:rFonts w:ascii="inherit" w:hAnsi="inherit" w:cs="Arial"/>
          <w:color w:val="131418"/>
          <w:sz w:val="21"/>
          <w:szCs w:val="21"/>
          <w:lang w:val="es-ES"/>
        </w:rPr>
        <w:t>documento privado</w:t>
      </w:r>
      <w:r w:rsidRPr="00A20819">
        <w:rPr>
          <w:rFonts w:ascii="inherit" w:hAnsi="inherit" w:cs="Arial"/>
          <w:color w:val="343843"/>
          <w:sz w:val="21"/>
          <w:szCs w:val="21"/>
          <w:lang w:val="es-ES"/>
        </w:rPr>
        <w:t> (que luego se puede elevar a público ante un notario), pero por razones de prueba, será necesario que los contratos de compraventa relacionados con bienes inmuebles sean </w:t>
      </w:r>
      <w:r w:rsidRPr="00A20819">
        <w:rPr>
          <w:rStyle w:val="Strong"/>
          <w:rFonts w:ascii="inherit" w:hAnsi="inherit" w:cs="Arial"/>
          <w:color w:val="131418"/>
          <w:sz w:val="21"/>
          <w:szCs w:val="21"/>
          <w:lang w:val="es-ES"/>
        </w:rPr>
        <w:t>elevados a público</w:t>
      </w:r>
      <w:r w:rsidRPr="00A20819">
        <w:rPr>
          <w:rFonts w:ascii="inherit" w:hAnsi="inherit" w:cs="Arial"/>
          <w:color w:val="343843"/>
          <w:sz w:val="21"/>
          <w:szCs w:val="21"/>
          <w:lang w:val="es-ES"/>
        </w:rPr>
        <w:t>.</w:t>
      </w:r>
    </w:p>
    <w:p w14:paraId="27048240"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Además, los contratos de venta a plazo de bienes muebles en los que el comprador es un particular y el pago se aplaza por más de tres meses, deben formalizarse por escrito para ser válidos.</w:t>
      </w:r>
    </w:p>
    <w:p w14:paraId="73058E2A"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br/>
      </w:r>
      <w:r>
        <w:rPr>
          <w:rStyle w:val="Strong"/>
          <w:rFonts w:ascii="inherit" w:hAnsi="inherit" w:cs="Arial"/>
          <w:color w:val="131418"/>
          <w:sz w:val="21"/>
          <w:szCs w:val="21"/>
        </w:rPr>
        <w:t>¿Cómo utilizar este documento?</w:t>
      </w:r>
      <w:bookmarkStart w:id="0" w:name="_GoBack"/>
      <w:bookmarkEnd w:id="0"/>
    </w:p>
    <w:p w14:paraId="372BD4F3"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Este documento puede ser utilizado para las </w:t>
      </w:r>
      <w:r>
        <w:rPr>
          <w:rStyle w:val="Strong"/>
          <w:rFonts w:ascii="inherit" w:hAnsi="inherit" w:cs="Arial"/>
          <w:color w:val="131418"/>
          <w:sz w:val="21"/>
          <w:szCs w:val="21"/>
        </w:rPr>
        <w:t>compraventas entre particulares, entre profesionales, y entre particulares y profesionales</w:t>
      </w:r>
      <w:r>
        <w:rPr>
          <w:rFonts w:ascii="inherit" w:hAnsi="inherit" w:cs="Arial"/>
          <w:color w:val="343843"/>
          <w:sz w:val="21"/>
          <w:szCs w:val="21"/>
        </w:rPr>
        <w:t>. Puede utilizarse tanto para la compraventa </w:t>
      </w:r>
      <w:r>
        <w:rPr>
          <w:rStyle w:val="Strong"/>
          <w:rFonts w:ascii="inherit" w:hAnsi="inherit" w:cs="Arial"/>
          <w:color w:val="131418"/>
          <w:sz w:val="21"/>
          <w:szCs w:val="21"/>
        </w:rPr>
        <w:t>de bienes muebles</w:t>
      </w:r>
      <w:r>
        <w:rPr>
          <w:rFonts w:ascii="inherit" w:hAnsi="inherit" w:cs="Arial"/>
          <w:color w:val="343843"/>
          <w:sz w:val="21"/>
          <w:szCs w:val="21"/>
        </w:rPr>
        <w:t> (por ejemplo, un reloj, un mueble) como para la venta de </w:t>
      </w:r>
      <w:r>
        <w:rPr>
          <w:rStyle w:val="Strong"/>
          <w:rFonts w:ascii="inherit" w:hAnsi="inherit" w:cs="Arial"/>
          <w:color w:val="131418"/>
          <w:sz w:val="21"/>
          <w:szCs w:val="21"/>
        </w:rPr>
        <w:t>bienes inmuebles</w:t>
      </w:r>
      <w:r>
        <w:rPr>
          <w:rFonts w:ascii="inherit" w:hAnsi="inherit" w:cs="Arial"/>
          <w:color w:val="343843"/>
          <w:sz w:val="21"/>
          <w:szCs w:val="21"/>
        </w:rPr>
        <w:t> (por ejemplo, una vivienda, una plaza de garaje). Sin embargo, en el segundo caso el contrato solo puede ser probado mediante documento público, al cual se puede elevar este documento después de su formalización.</w:t>
      </w:r>
    </w:p>
    <w:p w14:paraId="27953323"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 </w:t>
      </w:r>
    </w:p>
    <w:p w14:paraId="21D79CC9" w14:textId="77777777" w:rsidR="00A20819" w:rsidRDefault="00A20819" w:rsidP="00A20819">
      <w:pPr>
        <w:numPr>
          <w:ilvl w:val="0"/>
          <w:numId w:val="18"/>
        </w:numPr>
        <w:spacing w:line="360" w:lineRule="atLeast"/>
        <w:ind w:left="480"/>
        <w:textAlignment w:val="baseline"/>
        <w:rPr>
          <w:rFonts w:ascii="inherit" w:hAnsi="inherit" w:cs="Arial"/>
          <w:color w:val="343843"/>
          <w:sz w:val="21"/>
          <w:szCs w:val="21"/>
        </w:rPr>
      </w:pPr>
      <w:r>
        <w:rPr>
          <w:rStyle w:val="Strong"/>
          <w:rFonts w:ascii="inherit" w:hAnsi="inherit" w:cs="Arial"/>
          <w:color w:val="131418"/>
          <w:sz w:val="21"/>
          <w:szCs w:val="21"/>
        </w:rPr>
        <w:t>Contenido del contrato</w:t>
      </w:r>
    </w:p>
    <w:p w14:paraId="67A6810A"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Este documento incluye el siguiente </w:t>
      </w:r>
      <w:r>
        <w:rPr>
          <w:rStyle w:val="Strong"/>
          <w:rFonts w:ascii="inherit" w:hAnsi="inherit" w:cs="Arial"/>
          <w:color w:val="131418"/>
          <w:sz w:val="21"/>
          <w:szCs w:val="21"/>
        </w:rPr>
        <w:t>contenido mínimo</w:t>
      </w:r>
      <w:r>
        <w:rPr>
          <w:rFonts w:ascii="inherit" w:hAnsi="inherit" w:cs="Arial"/>
          <w:color w:val="343843"/>
          <w:sz w:val="21"/>
          <w:szCs w:val="21"/>
        </w:rPr>
        <w:t> para garantizar la eficacia del contrato:</w:t>
      </w:r>
    </w:p>
    <w:p w14:paraId="79B15B69"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w:t>
      </w:r>
      <w:r>
        <w:rPr>
          <w:rStyle w:val="Strong"/>
          <w:rFonts w:ascii="inherit" w:hAnsi="inherit" w:cs="Arial"/>
          <w:color w:val="131418"/>
          <w:sz w:val="21"/>
          <w:szCs w:val="21"/>
        </w:rPr>
        <w:t>descripción de las partes</w:t>
      </w:r>
      <w:r>
        <w:rPr>
          <w:rFonts w:ascii="inherit" w:hAnsi="inherit" w:cs="Arial"/>
          <w:color w:val="343843"/>
          <w:sz w:val="21"/>
          <w:szCs w:val="21"/>
        </w:rPr>
        <w:t>, vendedor(es) y comprador(es);</w:t>
      </w:r>
    </w:p>
    <w:p w14:paraId="240CB1E0"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w:t>
      </w:r>
      <w:r>
        <w:rPr>
          <w:rStyle w:val="Strong"/>
          <w:rFonts w:ascii="inherit" w:hAnsi="inherit" w:cs="Arial"/>
          <w:color w:val="131418"/>
          <w:sz w:val="21"/>
          <w:szCs w:val="21"/>
        </w:rPr>
        <w:t>manifestación de la</w:t>
      </w:r>
      <w:r>
        <w:rPr>
          <w:rFonts w:ascii="inherit" w:hAnsi="inherit" w:cs="Arial"/>
          <w:color w:val="343843"/>
          <w:sz w:val="21"/>
          <w:szCs w:val="21"/>
        </w:rPr>
        <w:t> </w:t>
      </w:r>
      <w:r>
        <w:rPr>
          <w:rStyle w:val="Strong"/>
          <w:rFonts w:ascii="inherit" w:hAnsi="inherit" w:cs="Arial"/>
          <w:color w:val="131418"/>
          <w:sz w:val="21"/>
          <w:szCs w:val="21"/>
        </w:rPr>
        <w:t>capacidad de las partes</w:t>
      </w:r>
      <w:r>
        <w:rPr>
          <w:rFonts w:ascii="inherit" w:hAnsi="inherit" w:cs="Arial"/>
          <w:color w:val="343843"/>
          <w:sz w:val="21"/>
          <w:szCs w:val="21"/>
        </w:rPr>
        <w:t> para firmar este contrato (en el caso de los contratos importantes o inhabituales en el tráfico jurídico, no la tienen los menores no emancipados ni los incapacitados judicialmente);</w:t>
      </w:r>
    </w:p>
    <w:p w14:paraId="1610930D"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w:t>
      </w:r>
      <w:r>
        <w:rPr>
          <w:rStyle w:val="Strong"/>
          <w:rFonts w:ascii="inherit" w:hAnsi="inherit" w:cs="Arial"/>
          <w:color w:val="131418"/>
          <w:sz w:val="21"/>
          <w:szCs w:val="21"/>
        </w:rPr>
        <w:t>descripción del bien objeto de la compraventa</w:t>
      </w:r>
      <w:r>
        <w:rPr>
          <w:rFonts w:ascii="inherit" w:hAnsi="inherit" w:cs="Arial"/>
          <w:color w:val="343843"/>
          <w:sz w:val="21"/>
          <w:szCs w:val="21"/>
        </w:rPr>
        <w:t> (el objeto vendido y comprado). El objeto debe ser determinado y estar en el comercio (se excluyen, por ejemplo, los órganos o los objetos contrarios al orden público). Por otro lado, el objeto podrá ser un bien inmueble (p. ej. una vivienda, un terreno, etc.) o un bien mueble (p. ej. un ordenador, un barco, etc.).</w:t>
      </w:r>
    </w:p>
    <w:p w14:paraId="14E627CD"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w:t>
      </w:r>
      <w:r>
        <w:rPr>
          <w:rStyle w:val="Strong"/>
          <w:rFonts w:ascii="inherit" w:hAnsi="inherit" w:cs="Arial"/>
          <w:color w:val="131418"/>
          <w:sz w:val="21"/>
          <w:szCs w:val="21"/>
        </w:rPr>
        <w:t>información sobre la situación del bien</w:t>
      </w:r>
      <w:r>
        <w:rPr>
          <w:rFonts w:ascii="inherit" w:hAnsi="inherit" w:cs="Arial"/>
          <w:color w:val="343843"/>
          <w:sz w:val="21"/>
          <w:szCs w:val="21"/>
        </w:rPr>
        <w:t> (estado físico, la existencia de posibles hipotecas o prendas sobre el mismo, de embargos, etc.)</w:t>
      </w:r>
    </w:p>
    <w:p w14:paraId="5C91A149"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el </w:t>
      </w:r>
      <w:r>
        <w:rPr>
          <w:rStyle w:val="Strong"/>
          <w:rFonts w:ascii="inherit" w:hAnsi="inherit" w:cs="Arial"/>
          <w:color w:val="131418"/>
          <w:sz w:val="21"/>
          <w:szCs w:val="21"/>
        </w:rPr>
        <w:t>precio</w:t>
      </w:r>
      <w:r>
        <w:rPr>
          <w:rFonts w:ascii="inherit" w:hAnsi="inherit" w:cs="Arial"/>
          <w:color w:val="343843"/>
          <w:sz w:val="21"/>
          <w:szCs w:val="21"/>
        </w:rPr>
        <w:t> acordado por las partes;</w:t>
      </w:r>
    </w:p>
    <w:p w14:paraId="59E5681A"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w:t>
      </w:r>
      <w:r>
        <w:rPr>
          <w:rStyle w:val="Strong"/>
          <w:rFonts w:ascii="inherit" w:hAnsi="inherit" w:cs="Arial"/>
          <w:color w:val="131418"/>
          <w:sz w:val="21"/>
          <w:szCs w:val="21"/>
        </w:rPr>
        <w:t>fecha </w:t>
      </w:r>
      <w:r>
        <w:rPr>
          <w:rFonts w:ascii="inherit" w:hAnsi="inherit" w:cs="Arial"/>
          <w:color w:val="343843"/>
          <w:sz w:val="21"/>
          <w:szCs w:val="21"/>
        </w:rPr>
        <w:t>y</w:t>
      </w:r>
      <w:r>
        <w:rPr>
          <w:rStyle w:val="Strong"/>
          <w:rFonts w:ascii="inherit" w:hAnsi="inherit" w:cs="Arial"/>
          <w:color w:val="131418"/>
          <w:sz w:val="21"/>
          <w:szCs w:val="21"/>
        </w:rPr>
        <w:t> forma de entrega</w:t>
      </w:r>
      <w:r>
        <w:rPr>
          <w:rFonts w:ascii="inherit" w:hAnsi="inherit" w:cs="Arial"/>
          <w:color w:val="343843"/>
          <w:sz w:val="21"/>
          <w:szCs w:val="21"/>
        </w:rPr>
        <w:t> del bien; y,</w:t>
      </w:r>
    </w:p>
    <w:p w14:paraId="50D78D94" w14:textId="77777777" w:rsidR="00A20819" w:rsidRDefault="00A20819" w:rsidP="00A20819">
      <w:pPr>
        <w:numPr>
          <w:ilvl w:val="0"/>
          <w:numId w:val="19"/>
        </w:numPr>
        <w:spacing w:line="360" w:lineRule="atLeast"/>
        <w:ind w:left="480"/>
        <w:textAlignment w:val="baseline"/>
        <w:rPr>
          <w:rFonts w:ascii="inherit" w:hAnsi="inherit" w:cs="Arial"/>
          <w:color w:val="343843"/>
          <w:sz w:val="21"/>
          <w:szCs w:val="21"/>
        </w:rPr>
      </w:pPr>
      <w:r>
        <w:rPr>
          <w:rFonts w:ascii="inherit" w:hAnsi="inherit" w:cs="Arial"/>
          <w:color w:val="343843"/>
          <w:sz w:val="21"/>
          <w:szCs w:val="21"/>
        </w:rPr>
        <w:t>la descripción de las posibles </w:t>
      </w:r>
      <w:r>
        <w:rPr>
          <w:rStyle w:val="Strong"/>
          <w:rFonts w:ascii="inherit" w:hAnsi="inherit" w:cs="Arial"/>
          <w:color w:val="131418"/>
          <w:sz w:val="21"/>
          <w:szCs w:val="21"/>
        </w:rPr>
        <w:t>garantías sobre el bien</w:t>
      </w:r>
      <w:r>
        <w:rPr>
          <w:rFonts w:ascii="inherit" w:hAnsi="inherit" w:cs="Arial"/>
          <w:color w:val="343843"/>
          <w:sz w:val="21"/>
          <w:szCs w:val="21"/>
        </w:rPr>
        <w:t>.</w:t>
      </w:r>
    </w:p>
    <w:p w14:paraId="785F4253"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Una vez que el objeto ha sido determinado, el precio establecido y las partes están de acuerdo, se perfecciona el contrato de compraventa, y es posible redactar este documento y firmarlo.</w:t>
      </w:r>
    </w:p>
    <w:p w14:paraId="79806901"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El vendedor tiene la </w:t>
      </w:r>
      <w:r>
        <w:rPr>
          <w:rStyle w:val="Strong"/>
          <w:rFonts w:ascii="inherit" w:hAnsi="inherit" w:cs="Arial"/>
          <w:color w:val="131418"/>
          <w:sz w:val="21"/>
          <w:szCs w:val="21"/>
        </w:rPr>
        <w:t>obligación</w:t>
      </w:r>
      <w:r>
        <w:rPr>
          <w:rFonts w:ascii="inherit" w:hAnsi="inherit" w:cs="Arial"/>
          <w:color w:val="343843"/>
          <w:sz w:val="21"/>
          <w:szCs w:val="21"/>
        </w:rPr>
        <w:t> de proporcionarle al comprador, antes de la conclusión del contrato, una serie de </w:t>
      </w:r>
      <w:r>
        <w:rPr>
          <w:rStyle w:val="Strong"/>
          <w:rFonts w:ascii="inherit" w:hAnsi="inherit" w:cs="Arial"/>
          <w:color w:val="131418"/>
          <w:sz w:val="21"/>
          <w:szCs w:val="21"/>
        </w:rPr>
        <w:t>informaciones </w:t>
      </w:r>
      <w:r>
        <w:rPr>
          <w:rFonts w:ascii="inherit" w:hAnsi="inherit" w:cs="Arial"/>
          <w:color w:val="343843"/>
          <w:sz w:val="21"/>
          <w:szCs w:val="21"/>
        </w:rPr>
        <w:t>para permitir que pueda conocer las características esenciales del bien antes de firmar el contrato. Estas obligaciones se acentúan en el caso de los contratos entre un profesional (vendedor profesional dedicado a la compraventa de bienes o a su distribución) y un particular (persona que desea adquirir el bien para su uso personal). Por ejemplo, estos contratos serían los firmados entre un concesionario de coches o un distribuidor de bicicletas y un cliente que usará estos bienes para actividades distintas a las que se dedica profesionalmente. En este caso, el contrato quedaría sujeto a la normativa especial de protección de los consumidores, con el fin de conseguir que los consumidores otorguen su consentimiento informado.</w:t>
      </w:r>
    </w:p>
    <w:p w14:paraId="4E493922"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Además, el vendedor está obligado a la </w:t>
      </w:r>
      <w:r>
        <w:rPr>
          <w:rStyle w:val="Strong"/>
          <w:rFonts w:ascii="inherit" w:hAnsi="inherit" w:cs="Arial"/>
          <w:color w:val="131418"/>
          <w:sz w:val="21"/>
          <w:szCs w:val="21"/>
        </w:rPr>
        <w:t>entrega del bien</w:t>
      </w:r>
      <w:r>
        <w:rPr>
          <w:rFonts w:ascii="inherit" w:hAnsi="inherit" w:cs="Arial"/>
          <w:color w:val="343843"/>
          <w:sz w:val="21"/>
          <w:szCs w:val="21"/>
        </w:rPr>
        <w:t> y al saneamiento de la cosa objeto de la venta (tanto de sus vicios ocultos como de su posesión legal y pacífica). De esta forma, el vendedor deberá garantizar que el comprador pueda hacer uso adecuado de los bienes adquiridos, debiendo responder en aquellos casos en los que existan </w:t>
      </w:r>
      <w:r>
        <w:rPr>
          <w:rStyle w:val="Strong"/>
          <w:rFonts w:ascii="inherit" w:hAnsi="inherit" w:cs="Arial"/>
          <w:color w:val="131418"/>
          <w:sz w:val="21"/>
          <w:szCs w:val="21"/>
        </w:rPr>
        <w:t>problemas técnicos </w:t>
      </w:r>
      <w:r>
        <w:rPr>
          <w:rFonts w:ascii="inherit" w:hAnsi="inherit" w:cs="Arial"/>
          <w:color w:val="343843"/>
          <w:sz w:val="21"/>
          <w:szCs w:val="21"/>
        </w:rPr>
        <w:t>o</w:t>
      </w:r>
      <w:r>
        <w:rPr>
          <w:rStyle w:val="Strong"/>
          <w:rFonts w:ascii="inherit" w:hAnsi="inherit" w:cs="Arial"/>
          <w:color w:val="131418"/>
          <w:sz w:val="21"/>
          <w:szCs w:val="21"/>
        </w:rPr>
        <w:t> defectos</w:t>
      </w:r>
      <w:r>
        <w:rPr>
          <w:rFonts w:ascii="inherit" w:hAnsi="inherit" w:cs="Arial"/>
          <w:color w:val="343843"/>
          <w:sz w:val="21"/>
          <w:szCs w:val="21"/>
        </w:rPr>
        <w:t> que no se hayan podido detectar por el comprador en el momento de su adquisición y que se hayan desarrollado con anterioridad a la venta.</w:t>
      </w:r>
    </w:p>
    <w:p w14:paraId="6A21AB3C"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Por su parte, el comprador está obligado a </w:t>
      </w:r>
      <w:r>
        <w:rPr>
          <w:rStyle w:val="Strong"/>
          <w:rFonts w:ascii="inherit" w:hAnsi="inherit" w:cs="Arial"/>
          <w:color w:val="131418"/>
          <w:sz w:val="21"/>
          <w:szCs w:val="21"/>
        </w:rPr>
        <w:t>recibir el bien</w:t>
      </w:r>
      <w:r>
        <w:rPr>
          <w:rFonts w:ascii="inherit" w:hAnsi="inherit" w:cs="Arial"/>
          <w:color w:val="343843"/>
          <w:sz w:val="21"/>
          <w:szCs w:val="21"/>
        </w:rPr>
        <w:t> y a </w:t>
      </w:r>
      <w:r>
        <w:rPr>
          <w:rStyle w:val="Strong"/>
          <w:rFonts w:ascii="inherit" w:hAnsi="inherit" w:cs="Arial"/>
          <w:color w:val="131418"/>
          <w:sz w:val="21"/>
          <w:szCs w:val="21"/>
        </w:rPr>
        <w:t>pagar el precio</w:t>
      </w:r>
      <w:r>
        <w:rPr>
          <w:rFonts w:ascii="inherit" w:hAnsi="inherit" w:cs="Arial"/>
          <w:color w:val="343843"/>
          <w:sz w:val="21"/>
          <w:szCs w:val="21"/>
        </w:rPr>
        <w:t> en el tiempo y lugar previstos. Este pago puede hacerse al momento de la entrega de la cosa ("pago al contado") o más tarde, por ejemplo, en varios plazos.</w:t>
      </w:r>
    </w:p>
    <w:p w14:paraId="28B30D7E"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Una vez han sido indicadas todas la informaciones necesarias, las partes deberán </w:t>
      </w:r>
      <w:r>
        <w:rPr>
          <w:rStyle w:val="Strong"/>
          <w:rFonts w:ascii="inherit" w:hAnsi="inherit" w:cs="Arial"/>
          <w:color w:val="131418"/>
          <w:sz w:val="21"/>
          <w:szCs w:val="21"/>
        </w:rPr>
        <w:t>firmar</w:t>
      </w:r>
      <w:r>
        <w:rPr>
          <w:rFonts w:ascii="inherit" w:hAnsi="inherit" w:cs="Arial"/>
          <w:color w:val="343843"/>
          <w:sz w:val="21"/>
          <w:szCs w:val="21"/>
        </w:rPr>
        <w:t> el documento. Para un mayor nivel de seguridad, las firmas han de figurar no sólo en la sección final del documento, sino también en el </w:t>
      </w:r>
      <w:r>
        <w:rPr>
          <w:rStyle w:val="Strong"/>
          <w:rFonts w:ascii="inherit" w:hAnsi="inherit" w:cs="Arial"/>
          <w:color w:val="131418"/>
          <w:sz w:val="21"/>
          <w:szCs w:val="21"/>
        </w:rPr>
        <w:t>borde izquierdo de cada página que compone el documento</w:t>
      </w:r>
      <w:r>
        <w:rPr>
          <w:rFonts w:ascii="inherit" w:hAnsi="inherit" w:cs="Arial"/>
          <w:color w:val="343843"/>
          <w:sz w:val="21"/>
          <w:szCs w:val="21"/>
        </w:rPr>
        <w:t>, incluyendo, en su caso, las páginas de los </w:t>
      </w:r>
      <w:r>
        <w:rPr>
          <w:rStyle w:val="Strong"/>
          <w:rFonts w:ascii="inherit" w:hAnsi="inherit" w:cs="Arial"/>
          <w:color w:val="131418"/>
          <w:sz w:val="21"/>
          <w:szCs w:val="21"/>
        </w:rPr>
        <w:t>anexos</w:t>
      </w:r>
      <w:r>
        <w:rPr>
          <w:rFonts w:ascii="inherit" w:hAnsi="inherit" w:cs="Arial"/>
          <w:color w:val="343843"/>
          <w:sz w:val="21"/>
          <w:szCs w:val="21"/>
        </w:rPr>
        <w:t> que también formarán parte del contrato.</w:t>
      </w:r>
    </w:p>
    <w:p w14:paraId="78195570"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br/>
      </w:r>
      <w:r>
        <w:rPr>
          <w:rStyle w:val="Strong"/>
          <w:rFonts w:ascii="inherit" w:hAnsi="inherit" w:cs="Arial"/>
          <w:color w:val="131418"/>
          <w:sz w:val="21"/>
          <w:szCs w:val="21"/>
        </w:rPr>
        <w:t>Legislación aplicable</w:t>
      </w:r>
    </w:p>
    <w:p w14:paraId="7EEFB281" w14:textId="77777777" w:rsidR="00A20819" w:rsidRDefault="00A20819" w:rsidP="00A20819">
      <w:pPr>
        <w:pStyle w:val="NormalWeb"/>
        <w:shd w:val="clear" w:color="auto" w:fill="FFFFFF"/>
        <w:spacing w:before="0" w:beforeAutospacing="0" w:after="0" w:afterAutospacing="0" w:line="360" w:lineRule="atLeast"/>
        <w:textAlignment w:val="baseline"/>
        <w:rPr>
          <w:rFonts w:ascii="inherit" w:hAnsi="inherit" w:cs="Arial"/>
          <w:color w:val="343843"/>
          <w:sz w:val="21"/>
          <w:szCs w:val="21"/>
        </w:rPr>
      </w:pPr>
      <w:r>
        <w:rPr>
          <w:rFonts w:ascii="inherit" w:hAnsi="inherit" w:cs="Arial"/>
          <w:color w:val="343843"/>
          <w:sz w:val="21"/>
          <w:szCs w:val="21"/>
        </w:rPr>
        <w:t>De manera general, el contrato de compraventa se rige por el Título IV del </w:t>
      </w:r>
      <w:hyperlink r:id="rId10" w:history="1">
        <w:r>
          <w:rPr>
            <w:rStyle w:val="Hyperlink"/>
            <w:rFonts w:ascii="inherit" w:hAnsi="inherit" w:cs="Arial"/>
            <w:color w:val="660099"/>
            <w:sz w:val="21"/>
            <w:szCs w:val="21"/>
            <w:bdr w:val="none" w:sz="0" w:space="0" w:color="auto" w:frame="1"/>
          </w:rPr>
          <w:t>Código civil</w:t>
        </w:r>
      </w:hyperlink>
      <w:r>
        <w:rPr>
          <w:rFonts w:ascii="inherit" w:hAnsi="inherit" w:cs="Arial"/>
          <w:color w:val="343843"/>
          <w:sz w:val="21"/>
          <w:szCs w:val="21"/>
        </w:rPr>
        <w:t>, es decir, por sus artículos 1445 y siguientes.</w:t>
      </w:r>
    </w:p>
    <w:p w14:paraId="4C9FF2C7" w14:textId="77777777" w:rsidR="00A20819" w:rsidRDefault="00A20819" w:rsidP="00A20819">
      <w:pPr>
        <w:pStyle w:val="NormalWeb"/>
        <w:shd w:val="clear" w:color="auto" w:fill="FFFFFF"/>
        <w:spacing w:before="0" w:beforeAutospacing="0" w:after="0" w:afterAutospacing="0" w:line="360" w:lineRule="atLeast"/>
        <w:textAlignment w:val="baseline"/>
        <w:rPr>
          <w:rFonts w:ascii="inherit" w:hAnsi="inherit" w:cs="Arial"/>
          <w:color w:val="343843"/>
          <w:sz w:val="21"/>
          <w:szCs w:val="21"/>
        </w:rPr>
      </w:pPr>
      <w:r>
        <w:rPr>
          <w:rFonts w:ascii="inherit" w:hAnsi="inherit" w:cs="Arial"/>
          <w:color w:val="343843"/>
          <w:sz w:val="21"/>
          <w:szCs w:val="21"/>
        </w:rPr>
        <w:t>Además, si el comprador es un consumidor, se aplica el Texto refundido de la </w:t>
      </w:r>
      <w:hyperlink r:id="rId11" w:history="1">
        <w:r>
          <w:rPr>
            <w:rStyle w:val="Hyperlink"/>
            <w:rFonts w:ascii="inherit" w:hAnsi="inherit" w:cs="Arial"/>
            <w:color w:val="660099"/>
            <w:sz w:val="21"/>
            <w:szCs w:val="21"/>
            <w:bdr w:val="none" w:sz="0" w:space="0" w:color="auto" w:frame="1"/>
          </w:rPr>
          <w:t>Ley General para la Defensa de los Consumidores y Usuarios</w:t>
        </w:r>
      </w:hyperlink>
      <w:r>
        <w:rPr>
          <w:rFonts w:ascii="inherit" w:hAnsi="inherit" w:cs="Arial"/>
          <w:color w:val="343843"/>
          <w:sz w:val="21"/>
          <w:szCs w:val="21"/>
        </w:rPr>
        <w:t>, especialmente en lo referente a la obligación de proporcionarle información precontractual (artículo 60 y siguientes, y 97 y siguientes), y a las garantías y servicios postventa (artículos 114 y siguientes).</w:t>
      </w:r>
    </w:p>
    <w:p w14:paraId="2F319622" w14:textId="77777777" w:rsidR="00A20819" w:rsidRDefault="00A20819" w:rsidP="00A20819">
      <w:pPr>
        <w:pStyle w:val="NormalWeb"/>
        <w:shd w:val="clear" w:color="auto" w:fill="FFFFFF"/>
        <w:spacing w:before="0" w:beforeAutospacing="0" w:after="0" w:afterAutospacing="0" w:line="360" w:lineRule="atLeast"/>
        <w:textAlignment w:val="baseline"/>
        <w:rPr>
          <w:rFonts w:ascii="inherit" w:hAnsi="inherit" w:cs="Arial"/>
          <w:color w:val="343843"/>
          <w:sz w:val="21"/>
          <w:szCs w:val="21"/>
        </w:rPr>
      </w:pPr>
      <w:r>
        <w:rPr>
          <w:rFonts w:ascii="inherit" w:hAnsi="inherit" w:cs="Arial"/>
          <w:color w:val="343843"/>
          <w:sz w:val="21"/>
          <w:szCs w:val="21"/>
        </w:rPr>
        <w:t>Por otra parte, a los contratos de compraventa de bienes muebles en los que el pago del precio se aplaza por un período superior a tres meses y el comprador es un particular, es aplicable la </w:t>
      </w:r>
      <w:hyperlink r:id="rId12" w:history="1">
        <w:r>
          <w:rPr>
            <w:rStyle w:val="Hyperlink"/>
            <w:rFonts w:ascii="inherit" w:hAnsi="inherit" w:cs="Arial"/>
            <w:color w:val="660099"/>
            <w:sz w:val="21"/>
            <w:szCs w:val="21"/>
            <w:bdr w:val="none" w:sz="0" w:space="0" w:color="auto" w:frame="1"/>
          </w:rPr>
          <w:t>Ley 28/1998, de 13 de julio, de venta a Plazos de Bienes Muebles</w:t>
        </w:r>
      </w:hyperlink>
      <w:r>
        <w:rPr>
          <w:rFonts w:ascii="inherit" w:hAnsi="inherit" w:cs="Arial"/>
          <w:color w:val="343843"/>
          <w:sz w:val="21"/>
          <w:szCs w:val="21"/>
        </w:rPr>
        <w:t>.</w:t>
      </w:r>
    </w:p>
    <w:p w14:paraId="1C596807"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br/>
      </w:r>
      <w:r>
        <w:rPr>
          <w:rStyle w:val="Strong"/>
          <w:rFonts w:ascii="inherit" w:hAnsi="inherit" w:cs="Arial"/>
          <w:color w:val="131418"/>
          <w:sz w:val="21"/>
          <w:szCs w:val="21"/>
        </w:rPr>
        <w:t>Ayuda de un abogado</w:t>
      </w:r>
    </w:p>
    <w:p w14:paraId="2CF88792"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También tienes la opción de </w:t>
      </w:r>
      <w:r>
        <w:rPr>
          <w:rStyle w:val="Strong"/>
          <w:rFonts w:ascii="inherit" w:hAnsi="inherit" w:cs="Arial"/>
          <w:color w:val="131418"/>
          <w:sz w:val="21"/>
          <w:szCs w:val="21"/>
        </w:rPr>
        <w:t>consultar a un abogado si necesitas ayuda</w:t>
      </w:r>
      <w:r>
        <w:rPr>
          <w:rFonts w:ascii="inherit" w:hAnsi="inherit" w:cs="Arial"/>
          <w:color w:val="343843"/>
          <w:sz w:val="21"/>
          <w:szCs w:val="21"/>
        </w:rPr>
        <w:t>.</w:t>
      </w:r>
    </w:p>
    <w:p w14:paraId="5575BA43"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El abogado puede contestar a tus preguntas o ayudarte en tus trámites. Al final de la creación del documento, se te ofrecerá esta opción.</w:t>
      </w:r>
    </w:p>
    <w:p w14:paraId="20778E75"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br/>
      </w:r>
      <w:r>
        <w:rPr>
          <w:rStyle w:val="Strong"/>
          <w:rFonts w:ascii="inherit" w:hAnsi="inherit" w:cs="Arial"/>
          <w:color w:val="131418"/>
          <w:sz w:val="21"/>
          <w:szCs w:val="21"/>
        </w:rPr>
        <w:t>¿Cómo modificar el modelo?</w:t>
      </w:r>
    </w:p>
    <w:p w14:paraId="25A0EA7C"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Rellenas un formulario. El documento se va redactando ante tus ojos, en función de tus respuestas.</w:t>
      </w:r>
    </w:p>
    <w:p w14:paraId="29505191" w14:textId="77777777" w:rsidR="00A20819" w:rsidRDefault="00A20819" w:rsidP="00A20819">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rPr>
      </w:pPr>
      <w:r>
        <w:rPr>
          <w:rFonts w:ascii="inherit" w:hAnsi="inherit" w:cs="Arial"/>
          <w:color w:val="343843"/>
          <w:sz w:val="21"/>
          <w:szCs w:val="21"/>
        </w:rPr>
        <w:t>Al finalizar, lo recibirás gratuitamente en los formatos </w:t>
      </w:r>
      <w:r>
        <w:rPr>
          <w:rStyle w:val="Strong"/>
          <w:rFonts w:ascii="inherit" w:hAnsi="inherit" w:cs="Arial"/>
          <w:color w:val="131418"/>
          <w:sz w:val="21"/>
          <w:szCs w:val="21"/>
        </w:rPr>
        <w:t>Word y PDF</w:t>
      </w:r>
      <w:r>
        <w:rPr>
          <w:rFonts w:ascii="inherit" w:hAnsi="inherit" w:cs="Arial"/>
          <w:color w:val="343843"/>
          <w:sz w:val="21"/>
          <w:szCs w:val="21"/>
        </w:rPr>
        <w:t>. Puedes </w:t>
      </w:r>
      <w:r>
        <w:rPr>
          <w:rStyle w:val="Strong"/>
          <w:rFonts w:ascii="inherit" w:hAnsi="inherit" w:cs="Arial"/>
          <w:color w:val="131418"/>
          <w:sz w:val="21"/>
          <w:szCs w:val="21"/>
        </w:rPr>
        <w:t>modificarlo</w:t>
      </w:r>
      <w:r>
        <w:rPr>
          <w:rFonts w:ascii="inherit" w:hAnsi="inherit" w:cs="Arial"/>
          <w:color w:val="343843"/>
          <w:sz w:val="21"/>
          <w:szCs w:val="21"/>
        </w:rPr>
        <w:t> y </w:t>
      </w:r>
      <w:r>
        <w:rPr>
          <w:rStyle w:val="Strong"/>
          <w:rFonts w:ascii="inherit" w:hAnsi="inherit" w:cs="Arial"/>
          <w:color w:val="131418"/>
          <w:sz w:val="21"/>
          <w:szCs w:val="21"/>
        </w:rPr>
        <w:t>volver a utilizarlo</w:t>
      </w:r>
      <w:r>
        <w:rPr>
          <w:rFonts w:ascii="inherit" w:hAnsi="inherit" w:cs="Arial"/>
          <w:color w:val="343843"/>
          <w:sz w:val="21"/>
          <w:szCs w:val="21"/>
        </w:rPr>
        <w:t>.</w:t>
      </w:r>
    </w:p>
    <w:p w14:paraId="6BA45A43" w14:textId="77777777" w:rsidR="00E63DF9" w:rsidRPr="00A20819" w:rsidRDefault="00E63DF9" w:rsidP="00A20819"/>
    <w:sectPr w:rsidR="00E63DF9" w:rsidRPr="00A20819"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EB"/>
    <w:multiLevelType w:val="multilevel"/>
    <w:tmpl w:val="05F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829E9"/>
    <w:multiLevelType w:val="multilevel"/>
    <w:tmpl w:val="35E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716F0"/>
    <w:multiLevelType w:val="multilevel"/>
    <w:tmpl w:val="60D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B0E4D"/>
    <w:multiLevelType w:val="multilevel"/>
    <w:tmpl w:val="AAB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C3D08BD"/>
    <w:multiLevelType w:val="multilevel"/>
    <w:tmpl w:val="C2B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6CFC"/>
    <w:multiLevelType w:val="multilevel"/>
    <w:tmpl w:val="C17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89C"/>
    <w:multiLevelType w:val="multilevel"/>
    <w:tmpl w:val="46B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E7471"/>
    <w:multiLevelType w:val="multilevel"/>
    <w:tmpl w:val="B06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3"/>
  </w:num>
  <w:num w:numId="5">
    <w:abstractNumId w:val="4"/>
  </w:num>
  <w:num w:numId="6">
    <w:abstractNumId w:val="2"/>
  </w:num>
  <w:num w:numId="7">
    <w:abstractNumId w:val="1"/>
  </w:num>
  <w:num w:numId="8">
    <w:abstractNumId w:val="16"/>
  </w:num>
  <w:num w:numId="9">
    <w:abstractNumId w:val="18"/>
  </w:num>
  <w:num w:numId="10">
    <w:abstractNumId w:val="11"/>
  </w:num>
  <w:num w:numId="11">
    <w:abstractNumId w:val="15"/>
  </w:num>
  <w:num w:numId="12">
    <w:abstractNumId w:val="17"/>
  </w:num>
  <w:num w:numId="13">
    <w:abstractNumId w:val="12"/>
  </w:num>
  <w:num w:numId="14">
    <w:abstractNumId w:val="0"/>
  </w:num>
  <w:num w:numId="15">
    <w:abstractNumId w:val="7"/>
  </w:num>
  <w:num w:numId="16">
    <w:abstractNumId w:val="6"/>
  </w:num>
  <w:num w:numId="17">
    <w:abstractNumId w:val="5"/>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4976D4"/>
    <w:rsid w:val="00525B45"/>
    <w:rsid w:val="00542060"/>
    <w:rsid w:val="00653D89"/>
    <w:rsid w:val="00761269"/>
    <w:rsid w:val="00860459"/>
    <w:rsid w:val="00902310"/>
    <w:rsid w:val="00A20819"/>
    <w:rsid w:val="00A66687"/>
    <w:rsid w:val="00AE5AC3"/>
    <w:rsid w:val="00BE6D60"/>
    <w:rsid w:val="00C15253"/>
    <w:rsid w:val="00C20BDF"/>
    <w:rsid w:val="00E63DF9"/>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5AC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1">
    <w:name w:val="Unresolved Mention1"/>
    <w:basedOn w:val="DefaultParagraphFont"/>
    <w:uiPriority w:val="99"/>
    <w:rsid w:val="00860459"/>
    <w:rPr>
      <w:color w:val="605E5C"/>
      <w:shd w:val="clear" w:color="auto" w:fill="E1DFDD"/>
    </w:rPr>
  </w:style>
  <w:style w:type="character" w:customStyle="1" w:styleId="Heading3Char">
    <w:name w:val="Heading 3 Char"/>
    <w:basedOn w:val="DefaultParagraphFont"/>
    <w:link w:val="Heading3"/>
    <w:uiPriority w:val="9"/>
    <w:semiHidden/>
    <w:rsid w:val="00AE5AC3"/>
    <w:rPr>
      <w:rFonts w:asciiTheme="majorHAnsi" w:eastAsiaTheme="majorEastAsia" w:hAnsiTheme="majorHAnsi" w:cstheme="majorBidi"/>
      <w:color w:val="1F4D78" w:themeColor="accent1" w:themeShade="7F"/>
      <w:lang w:val="es-ES_tradnl"/>
    </w:rPr>
  </w:style>
  <w:style w:type="paragraph" w:customStyle="1" w:styleId="article-content">
    <w:name w:val="article-content"/>
    <w:basedOn w:val="Normal"/>
    <w:rsid w:val="00542060"/>
    <w:pPr>
      <w:spacing w:before="100" w:beforeAutospacing="1" w:after="100" w:afterAutospacing="1"/>
    </w:pPr>
    <w:rPr>
      <w:rFonts w:ascii="Times New Roman" w:eastAsia="Times New Roman" w:hAnsi="Times New Roman" w:cs="Times New Roman"/>
      <w:lang w:val="es-SP" w:eastAsia="es-S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420638240">
      <w:bodyDiv w:val="1"/>
      <w:marLeft w:val="0"/>
      <w:marRight w:val="0"/>
      <w:marTop w:val="0"/>
      <w:marBottom w:val="0"/>
      <w:divBdr>
        <w:top w:val="none" w:sz="0" w:space="0" w:color="auto"/>
        <w:left w:val="none" w:sz="0" w:space="0" w:color="auto"/>
        <w:bottom w:val="none" w:sz="0" w:space="0" w:color="auto"/>
        <w:right w:val="none" w:sz="0" w:space="0" w:color="auto"/>
      </w:divBdr>
      <w:divsChild>
        <w:div w:id="386144352">
          <w:marLeft w:val="0"/>
          <w:marRight w:val="0"/>
          <w:marTop w:val="0"/>
          <w:marBottom w:val="0"/>
          <w:divBdr>
            <w:top w:val="none" w:sz="0" w:space="0" w:color="auto"/>
            <w:left w:val="none" w:sz="0" w:space="0" w:color="auto"/>
            <w:bottom w:val="none" w:sz="0" w:space="0" w:color="auto"/>
            <w:right w:val="none" w:sz="0" w:space="0" w:color="auto"/>
          </w:divBdr>
        </w:div>
      </w:divsChild>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62588279">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071274725">
      <w:bodyDiv w:val="1"/>
      <w:marLeft w:val="0"/>
      <w:marRight w:val="0"/>
      <w:marTop w:val="0"/>
      <w:marBottom w:val="0"/>
      <w:divBdr>
        <w:top w:val="none" w:sz="0" w:space="0" w:color="auto"/>
        <w:left w:val="none" w:sz="0" w:space="0" w:color="auto"/>
        <w:bottom w:val="none" w:sz="0" w:space="0" w:color="auto"/>
        <w:right w:val="none" w:sz="0" w:space="0" w:color="auto"/>
      </w:divBdr>
      <w:divsChild>
        <w:div w:id="1979723843">
          <w:marLeft w:val="0"/>
          <w:marRight w:val="0"/>
          <w:marTop w:val="0"/>
          <w:marBottom w:val="0"/>
          <w:divBdr>
            <w:top w:val="none" w:sz="0" w:space="0" w:color="auto"/>
            <w:left w:val="none" w:sz="0" w:space="0" w:color="auto"/>
            <w:bottom w:val="none" w:sz="0" w:space="0" w:color="auto"/>
            <w:right w:val="none" w:sz="0" w:space="0" w:color="auto"/>
          </w:divBdr>
          <w:divsChild>
            <w:div w:id="1375228433">
              <w:marLeft w:val="0"/>
              <w:marRight w:val="0"/>
              <w:marTop w:val="0"/>
              <w:marBottom w:val="0"/>
              <w:divBdr>
                <w:top w:val="none" w:sz="0" w:space="0" w:color="auto"/>
                <w:left w:val="none" w:sz="0" w:space="0" w:color="auto"/>
                <w:bottom w:val="none" w:sz="0" w:space="0" w:color="auto"/>
                <w:right w:val="none" w:sz="0" w:space="0" w:color="auto"/>
              </w:divBdr>
            </w:div>
          </w:divsChild>
        </w:div>
        <w:div w:id="334773330">
          <w:marLeft w:val="-225"/>
          <w:marRight w:val="-225"/>
          <w:marTop w:val="30"/>
          <w:marBottom w:val="30"/>
          <w:divBdr>
            <w:top w:val="none" w:sz="0" w:space="0" w:color="auto"/>
            <w:left w:val="none" w:sz="0" w:space="0" w:color="auto"/>
            <w:bottom w:val="none" w:sz="0" w:space="0" w:color="auto"/>
            <w:right w:val="none" w:sz="0" w:space="0" w:color="auto"/>
          </w:divBdr>
        </w:div>
        <w:div w:id="1116677876">
          <w:marLeft w:val="0"/>
          <w:marRight w:val="0"/>
          <w:marTop w:val="0"/>
          <w:marBottom w:val="0"/>
          <w:divBdr>
            <w:top w:val="none" w:sz="0" w:space="0" w:color="auto"/>
            <w:left w:val="none" w:sz="0" w:space="0" w:color="auto"/>
            <w:bottom w:val="none" w:sz="0" w:space="0" w:color="auto"/>
            <w:right w:val="none" w:sz="0" w:space="0" w:color="auto"/>
          </w:divBdr>
          <w:divsChild>
            <w:div w:id="341131287">
              <w:marLeft w:val="0"/>
              <w:marRight w:val="0"/>
              <w:marTop w:val="0"/>
              <w:marBottom w:val="0"/>
              <w:divBdr>
                <w:top w:val="none" w:sz="0" w:space="0" w:color="auto"/>
                <w:left w:val="none" w:sz="0" w:space="0" w:color="auto"/>
                <w:bottom w:val="none" w:sz="0" w:space="0" w:color="auto"/>
                <w:right w:val="none" w:sz="0" w:space="0" w:color="auto"/>
              </w:divBdr>
            </w:div>
          </w:divsChild>
        </w:div>
        <w:div w:id="1774087824">
          <w:marLeft w:val="-225"/>
          <w:marRight w:val="-225"/>
          <w:marTop w:val="30"/>
          <w:marBottom w:val="30"/>
          <w:divBdr>
            <w:top w:val="none" w:sz="0" w:space="0" w:color="auto"/>
            <w:left w:val="none" w:sz="0" w:space="0" w:color="auto"/>
            <w:bottom w:val="none" w:sz="0" w:space="0" w:color="auto"/>
            <w:right w:val="none" w:sz="0" w:space="0" w:color="auto"/>
          </w:divBdr>
        </w:div>
        <w:div w:id="1480805384">
          <w:marLeft w:val="0"/>
          <w:marRight w:val="0"/>
          <w:marTop w:val="0"/>
          <w:marBottom w:val="0"/>
          <w:divBdr>
            <w:top w:val="none" w:sz="0" w:space="0" w:color="auto"/>
            <w:left w:val="none" w:sz="0" w:space="0" w:color="auto"/>
            <w:bottom w:val="none" w:sz="0" w:space="0" w:color="auto"/>
            <w:right w:val="none" w:sz="0" w:space="0" w:color="auto"/>
          </w:divBdr>
          <w:divsChild>
            <w:div w:id="7293112">
              <w:marLeft w:val="0"/>
              <w:marRight w:val="0"/>
              <w:marTop w:val="0"/>
              <w:marBottom w:val="0"/>
              <w:divBdr>
                <w:top w:val="none" w:sz="0" w:space="0" w:color="auto"/>
                <w:left w:val="none" w:sz="0" w:space="0" w:color="auto"/>
                <w:bottom w:val="none" w:sz="0" w:space="0" w:color="auto"/>
                <w:right w:val="none" w:sz="0" w:space="0" w:color="auto"/>
              </w:divBdr>
            </w:div>
          </w:divsChild>
        </w:div>
        <w:div w:id="1926303436">
          <w:marLeft w:val="-225"/>
          <w:marRight w:val="-225"/>
          <w:marTop w:val="30"/>
          <w:marBottom w:val="30"/>
          <w:divBdr>
            <w:top w:val="none" w:sz="0" w:space="0" w:color="auto"/>
            <w:left w:val="none" w:sz="0" w:space="0" w:color="auto"/>
            <w:bottom w:val="none" w:sz="0" w:space="0" w:color="auto"/>
            <w:right w:val="none" w:sz="0" w:space="0" w:color="auto"/>
          </w:divBdr>
        </w:div>
        <w:div w:id="307394685">
          <w:marLeft w:val="0"/>
          <w:marRight w:val="0"/>
          <w:marTop w:val="0"/>
          <w:marBottom w:val="0"/>
          <w:divBdr>
            <w:top w:val="none" w:sz="0" w:space="0" w:color="auto"/>
            <w:left w:val="none" w:sz="0" w:space="0" w:color="auto"/>
            <w:bottom w:val="none" w:sz="0" w:space="0" w:color="auto"/>
            <w:right w:val="none" w:sz="0" w:space="0" w:color="auto"/>
          </w:divBdr>
          <w:divsChild>
            <w:div w:id="672490700">
              <w:marLeft w:val="0"/>
              <w:marRight w:val="0"/>
              <w:marTop w:val="0"/>
              <w:marBottom w:val="0"/>
              <w:divBdr>
                <w:top w:val="none" w:sz="0" w:space="0" w:color="auto"/>
                <w:left w:val="none" w:sz="0" w:space="0" w:color="auto"/>
                <w:bottom w:val="none" w:sz="0" w:space="0" w:color="auto"/>
                <w:right w:val="none" w:sz="0" w:space="0" w:color="auto"/>
              </w:divBdr>
            </w:div>
          </w:divsChild>
        </w:div>
        <w:div w:id="1937707667">
          <w:marLeft w:val="-225"/>
          <w:marRight w:val="-225"/>
          <w:marTop w:val="30"/>
          <w:marBottom w:val="30"/>
          <w:divBdr>
            <w:top w:val="none" w:sz="0" w:space="0" w:color="auto"/>
            <w:left w:val="none" w:sz="0" w:space="0" w:color="auto"/>
            <w:bottom w:val="none" w:sz="0" w:space="0" w:color="auto"/>
            <w:right w:val="none" w:sz="0" w:space="0" w:color="auto"/>
          </w:divBdr>
        </w:div>
        <w:div w:id="2019193784">
          <w:marLeft w:val="0"/>
          <w:marRight w:val="0"/>
          <w:marTop w:val="0"/>
          <w:marBottom w:val="0"/>
          <w:divBdr>
            <w:top w:val="none" w:sz="0" w:space="0" w:color="auto"/>
            <w:left w:val="none" w:sz="0" w:space="0" w:color="auto"/>
            <w:bottom w:val="none" w:sz="0" w:space="0" w:color="auto"/>
            <w:right w:val="none" w:sz="0" w:space="0" w:color="auto"/>
          </w:divBdr>
          <w:divsChild>
            <w:div w:id="738138537">
              <w:marLeft w:val="0"/>
              <w:marRight w:val="0"/>
              <w:marTop w:val="0"/>
              <w:marBottom w:val="0"/>
              <w:divBdr>
                <w:top w:val="none" w:sz="0" w:space="0" w:color="auto"/>
                <w:left w:val="none" w:sz="0" w:space="0" w:color="auto"/>
                <w:bottom w:val="none" w:sz="0" w:space="0" w:color="auto"/>
                <w:right w:val="none" w:sz="0" w:space="0" w:color="auto"/>
              </w:divBdr>
            </w:div>
          </w:divsChild>
        </w:div>
        <w:div w:id="2045672541">
          <w:marLeft w:val="-225"/>
          <w:marRight w:val="-225"/>
          <w:marTop w:val="30"/>
          <w:marBottom w:val="30"/>
          <w:divBdr>
            <w:top w:val="none" w:sz="0" w:space="0" w:color="auto"/>
            <w:left w:val="none" w:sz="0" w:space="0" w:color="auto"/>
            <w:bottom w:val="none" w:sz="0" w:space="0" w:color="auto"/>
            <w:right w:val="none" w:sz="0" w:space="0" w:color="auto"/>
          </w:divBdr>
        </w:div>
        <w:div w:id="1999532592">
          <w:marLeft w:val="0"/>
          <w:marRight w:val="0"/>
          <w:marTop w:val="0"/>
          <w:marBottom w:val="0"/>
          <w:divBdr>
            <w:top w:val="none" w:sz="0" w:space="0" w:color="auto"/>
            <w:left w:val="none" w:sz="0" w:space="0" w:color="auto"/>
            <w:bottom w:val="none" w:sz="0" w:space="0" w:color="auto"/>
            <w:right w:val="none" w:sz="0" w:space="0" w:color="auto"/>
          </w:divBdr>
          <w:divsChild>
            <w:div w:id="9715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 w:id="1800801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nder.legal/es/modele/contrato-promesa-compraventa-mue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nder.legal/es/modele/contrato-arrendamiento-obra" TargetMode="External"/><Relationship Id="rId12" Type="http://schemas.openxmlformats.org/officeDocument/2006/relationships/hyperlink" Target="https://www.boe.es/buscar/act.php?id=BOE-A-1998-16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nder.legal/es/modele/contrato-de-prestacion-de-servicios" TargetMode="External"/><Relationship Id="rId11" Type="http://schemas.openxmlformats.org/officeDocument/2006/relationships/hyperlink" Target="https://www.boe.es/buscar/act.php?id=BOE-A-2007-20555" TargetMode="External"/><Relationship Id="rId5" Type="http://schemas.openxmlformats.org/officeDocument/2006/relationships/hyperlink" Target="https://www.wonder.legal/es/modele/contrato-compraventa-vehiculo-segunda-mano-entre-particulares" TargetMode="External"/><Relationship Id="rId10" Type="http://schemas.openxmlformats.org/officeDocument/2006/relationships/hyperlink" Target="https://www.boe.es/buscar/act.php?id=BOE-A-1889-4763" TargetMode="External"/><Relationship Id="rId4" Type="http://schemas.openxmlformats.org/officeDocument/2006/relationships/webSettings" Target="webSettings.xml"/><Relationship Id="rId9" Type="http://schemas.openxmlformats.org/officeDocument/2006/relationships/hyperlink" Target="https://www.wonder.legal/es/modele/arras-penitenciales-entrega-senal-compraventa-vivien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8</cp:revision>
  <dcterms:created xsi:type="dcterms:W3CDTF">2019-11-25T19:42:00Z</dcterms:created>
  <dcterms:modified xsi:type="dcterms:W3CDTF">2020-03-10T16:29:00Z</dcterms:modified>
</cp:coreProperties>
</file>