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Worksheet 5: Agentic Integration &amp; Quality Gate Report</w:t>
      </w:r>
    </w:p>
    <w:p>
      <w:pPr>
        <w:pStyle w:val="Heading1"/>
      </w:pPr>
      <w:r>
        <w:t>Submission Metadata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F172A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F172A"/>
          </w:tcPr>
          <w:p>
            <w:r>
              <w:rPr>
                <w:b/>
                <w:color w:val="FFFFFF"/>
                <w:sz w:val="18"/>
              </w:rPr>
              <w:t>Team Entry</w:t>
            </w:r>
          </w:p>
        </w:tc>
      </w:tr>
      <w:tr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Team Name / Triad ID</w:t>
            </w:r>
          </w:p>
        </w:tc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CircleGuard Triad</w:t>
            </w:r>
          </w:p>
        </w:tc>
      </w:tr>
      <w:tr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Product Lead</w:t>
            </w:r>
          </w:p>
        </w:tc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Joe</w:t>
            </w:r>
          </w:p>
        </w:tc>
      </w:tr>
      <w:tr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UX / Design Lead</w:t>
            </w:r>
          </w:p>
        </w:tc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Joshua</w:t>
            </w:r>
          </w:p>
        </w:tc>
      </w:tr>
      <w:tr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Architecture Lead</w:t>
            </w:r>
          </w:p>
        </w:tc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Juan</w:t>
            </w:r>
          </w:p>
        </w:tc>
      </w:tr>
      <w:tr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Submission Date</w:t>
            </w:r>
          </w:p>
        </w:tc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2026-09-14</w:t>
            </w:r>
          </w:p>
        </w:tc>
      </w:tr>
    </w:tbl>
    <w:p>
      <w:pPr>
        <w:spacing w:after="20"/>
      </w:pPr>
    </w:p>
    <w:p>
      <w:pPr>
        <w:pStyle w:val="Heading1"/>
      </w:pPr>
      <w:r>
        <w:t>5.1 Benchmarking Matrix — Human Audit vs. BMad Automated Review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F172A"/>
          </w:tcPr>
          <w:p>
            <w:r>
              <w:rPr>
                <w:b/>
                <w:color w:val="FFFFFF"/>
                <w:sz w:val="16"/>
              </w:rPr>
              <w:t>Audit Dimension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F172A"/>
          </w:tcPr>
          <w:p>
            <w:r>
              <w:rPr>
                <w:b/>
                <w:color w:val="FFFFFF"/>
                <w:sz w:val="16"/>
              </w:rPr>
              <w:t>Human Triad Finding (Worksheets 1 &amp; 2)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F172A"/>
          </w:tcPr>
          <w:p>
            <w:r>
              <w:rPr>
                <w:b/>
                <w:color w:val="FFFFFF"/>
                <w:sz w:val="16"/>
              </w:rPr>
              <w:t>BMad Automated Review Finding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0F172A"/>
          </w:tcPr>
          <w:p>
            <w:r>
              <w:rPr>
                <w:b/>
                <w:color w:val="FFFFFF"/>
                <w:sz w:val="16"/>
              </w:rPr>
              <w:t>Evaluation / Winner</w:t>
            </w:r>
          </w:p>
        </w:tc>
      </w:tr>
      <w:tr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PRD Defects</w:t>
            </w:r>
            <w:r>
              <w:rPr>
                <w:sz w:val="16"/>
              </w:rPr>
              <w:t xml:space="preserve"> — Design Leaks [D], Vagueness [V]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The human PRD audit identified five focused defects: FR-28 leaks Kubernetes PersistentVolume into the PRD; FR-3 leaves “shared closed space” undefined; UJ-4 does not say whether one or both users must confirm; QR requirements omit status changes after issuance; and NFR-3 leaves “normal load” undefined.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374151"/>
                <w:sz w:val="16"/>
              </w:rPr>
              <w:t>/bmad-prd validate</w:t>
            </w:r>
            <w:r>
              <w:rPr>
                <w:sz w:val="16"/>
              </w:rPr>
              <w:t xml:space="preserve"> classified the PRD as </w:t>
            </w:r>
            <w:r>
              <w:rPr>
                <w:b/>
                <w:sz w:val="16"/>
              </w:rPr>
              <w:t>not decision-ready</w:t>
            </w:r>
            <w:r>
              <w:rPr>
                <w:sz w:val="16"/>
              </w:rPr>
              <w:t xml:space="preserve">, with 21 rubric findings (4 critical, 13 high, 4 medium). </w:t>
            </w:r>
            <w:r>
              <w:rPr>
                <w:rFonts w:ascii="Consolas" w:hAnsi="Consolas"/>
                <w:color w:val="374151"/>
                <w:sz w:val="16"/>
              </w:rPr>
              <w:t>/bmad-review</w:t>
            </w:r>
            <w:r>
              <w:rPr>
                <w:sz w:val="16"/>
              </w:rPr>
              <w:t xml:space="preserve"> added 22 adversarial and 49 edge-case observations. It confirmed the human design leak, contact-definition ambiguity, stale QR, and workload defects, then exposed the larger scope contradiction, missing fence state machine, recursive-cycle/idempotency gaps, incompatible performance clocks, undefined negative-test policy, and non-testable metrics.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 xml:space="preserve">☐ Human deeper  </w:t>
            </w:r>
            <w:r>
              <w:rPr>
                <w:b/>
                <w:sz w:val="16"/>
              </w:rPr>
              <w:t>☒ BMad deeper</w:t>
            </w:r>
            <w:r>
              <w:rPr>
                <w:sz w:val="16"/>
              </w:rPr>
              <w:t xml:space="preserve">  ☐ Full agreement</w:t>
            </w:r>
          </w:p>
        </w:tc>
      </w:tr>
      <w:tr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UX &amp; UI States</w:t>
            </w:r>
            <w:r>
              <w:rPr>
                <w:sz w:val="16"/>
              </w:rPr>
              <w:t xml:space="preserve"> — Missing states [I], Untestability [U]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The human UX audit found the unbounded 200 ms benchmark, subjective “Magic Door”/“calm typography,” color-only QR states contradicting the accessibility rule, missing registration failure/retry, the offline contradiction, and unexplained Spanish labels.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The bundle review confirmed the 200 ms and offline defects, the exact color-accessibility failure, and registration recovery gap. It also enumerated missing states for one-sided or timed-out proximity consent; missed prompts and disabled permissions; pending/unknown/offline/revoked gate decisions; fence evidence under review or rejected; another active fence cause; questionnaire version change; malicious/failed upload; biometric refusal; and reduced-motion/haptic fallbacks.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 xml:space="preserve">☐ Human deeper  </w:t>
            </w:r>
            <w:r>
              <w:rPr>
                <w:b/>
                <w:sz w:val="16"/>
              </w:rPr>
              <w:t>☒ BMad deeper</w:t>
            </w:r>
            <w:r>
              <w:rPr>
                <w:sz w:val="16"/>
              </w:rPr>
              <w:t xml:space="preserve">  ☐ Full agreement</w:t>
            </w:r>
          </w:p>
        </w:tc>
      </w:tr>
      <w:tr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Cross-Document Collisions</w:t>
            </w:r>
            <w:r>
              <w:rPr>
                <w:sz w:val="16"/>
              </w:rPr>
              <w:t xml:space="preserve"> — Capability mismatch, Probe [X]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Worksheet 2 clearly found UX offline QR support versus Architecture’s Phase 2 deferral. Its QR color issue was valid but intra-document, and its certificate-storage versus WiFi-hardware pairing was not a genuine collision.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BMad confirmed the offline conflict and found additional collisions: Architecture summarizes only 23 FRs while the PRD defines 38; Phase 1 scope conflicts with current PRD/UX journeys; background automatic capture conflicts with two-party confirmation; the professor UI displays names despite anonymity rules; “complete deletion” conflicts with immutable Kafka/audit records; web “full parity” conflicts with exclusion of proximity; and end-to-end UX latency conflicts with an API-only architecture target.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 xml:space="preserve">☐ Human deeper  </w:t>
            </w:r>
            <w:r>
              <w:rPr>
                <w:b/>
                <w:sz w:val="16"/>
              </w:rPr>
              <w:t>☒ BMad deeper</w:t>
            </w:r>
            <w:r>
              <w:rPr>
                <w:sz w:val="16"/>
              </w:rPr>
              <w:t xml:space="preserve">  ☐ Full agreement</w:t>
            </w:r>
          </w:p>
        </w:tc>
      </w:tr>
      <w:tr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Security &amp; Privacy Gaps</w:t>
            </w:r>
            <w:r>
              <w:rPr>
                <w:sz w:val="16"/>
              </w:rPr>
              <w:t xml:space="preserve"> — FERPA / HIPAA / PII leaks [G]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The human Architecture audit raised a strong JWT feature-gating ambiguity and warned that client-side hiding could enable BOPA/IDOR. It also noticed stale QR behavior. It did not perform a systematic privacy analysis across the exhibits.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BMad found that salted hashing can be enumerated; deletion omits stores, backups, derived state, and audit exceptions; professor names reveal identifiable health context; notifications may expose medical information on lock screens/email/SMS; small dashboard cohorts permit re-identification; biometrics lack consent and lifecycle limits; QR codes permit replay; LDAP-to-local fallback can cause account-realm bypass; JWT revocation is absent; and certificates lack secure upload and scoped-access controls.</w:t>
            </w:r>
          </w:p>
        </w:tc>
        <w:tc>
          <w:tcPr>
            <w:tcW w:type="dxa" w:w="35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 xml:space="preserve">☐ Human deeper  </w:t>
            </w:r>
            <w:r>
              <w:rPr>
                <w:b/>
                <w:sz w:val="16"/>
              </w:rPr>
              <w:t>☒ BMad deeper</w:t>
            </w:r>
            <w:r>
              <w:rPr>
                <w:sz w:val="16"/>
              </w:rPr>
              <w:t xml:space="preserve">  ☐ Full agreement</w:t>
            </w:r>
          </w:p>
        </w:tc>
      </w:tr>
    </w:tbl>
    <w:p>
      <w:pPr>
        <w:spacing w:after="20"/>
      </w:pPr>
    </w:p>
    <w:p>
      <w:pPr>
        <w:pStyle w:val="Heading2"/>
      </w:pPr>
      <w:r>
        <w:t>Key Takeaway Analysis</w:t>
      </w:r>
    </w:p>
    <w:p>
      <w:r>
        <w:rPr>
          <w:b/>
        </w:rPr>
        <w:t>True Positives — defects found by both:</w:t>
      </w:r>
    </w:p>
    <w:p>
      <w:pPr>
        <w:pStyle w:val="ListNumber"/>
      </w:pPr>
      <w:r>
        <w:rPr>
          <w:b/>
        </w:rPr>
        <w:t>FR-28 design leak:</w:t>
      </w:r>
      <w:r>
        <w:t xml:space="preserve"> both reviews reject “Kubernetes PersistentVolume” as a PRD-level mandate and note that required storage/security behavior is missing.</w:t>
      </w:r>
    </w:p>
    <w:p>
      <w:pPr>
        <w:pStyle w:val="ListNumber"/>
      </w:pPr>
      <w:r>
        <w:rPr>
          <w:b/>
        </w:rPr>
        <w:t>FR-3 vagueness:</w:t>
      </w:r>
      <w:r>
        <w:t xml:space="preserve"> both identify “shared closed space” and proximity thresholds as insufficiently operationalized.</w:t>
      </w:r>
    </w:p>
    <w:p>
      <w:pPr>
        <w:pStyle w:val="ListNumber"/>
      </w:pPr>
      <w:r>
        <w:rPr>
          <w:b/>
        </w:rPr>
        <w:t>UJ-4 confirmation ambiguity:</w:t>
      </w:r>
      <w:r>
        <w:t xml:space="preserve"> both identify missing behavior when only one participant confirms.</w:t>
      </w:r>
    </w:p>
    <w:p>
      <w:pPr>
        <w:pStyle w:val="ListNumber"/>
      </w:pPr>
      <w:r>
        <w:rPr>
          <w:b/>
        </w:rPr>
        <w:t>Stale QR risk:</w:t>
      </w:r>
      <w:r>
        <w:t xml:space="preserve"> both identify the case where a token remains valid after the user becomes fenced.</w:t>
      </w:r>
    </w:p>
    <w:p>
      <w:pPr>
        <w:pStyle w:val="ListNumber"/>
      </w:pPr>
      <w:r>
        <w:rPr>
          <w:b/>
        </w:rPr>
        <w:t>NFR-3 / 200 ms untestability:</w:t>
      </w:r>
      <w:r>
        <w:t xml:space="preserve"> both identify undefined load and timing boundaries.</w:t>
      </w:r>
    </w:p>
    <w:p>
      <w:pPr>
        <w:pStyle w:val="ListNumber"/>
      </w:pPr>
      <w:r>
        <w:rPr>
          <w:b/>
        </w:rPr>
        <w:t>Offline collision:</w:t>
      </w:r>
      <w:r>
        <w:t xml:space="preserve"> both identify UX offline QR validity versus Architecture’s explicit Phase 2 deferral.</w:t>
      </w:r>
    </w:p>
    <w:p>
      <w:pPr>
        <w:pStyle w:val="ListNumber"/>
      </w:pPr>
      <w:r>
        <w:rPr>
          <w:b/>
        </w:rPr>
        <w:t>Authorization boundary:</w:t>
      </w:r>
      <w:r>
        <w:t xml:space="preserve"> both identify that conditional UI rendering from JWT claims is not sufficient server-side authorization.</w:t>
      </w:r>
    </w:p>
    <w:p>
      <w:r>
        <w:rPr>
          <w:b/>
        </w:rPr>
        <w:t>AI Discovery — critical defects missed or underdeveloped by the human triad:</w:t>
      </w:r>
    </w:p>
    <w:p>
      <w:pPr>
        <w:pStyle w:val="ListNumber"/>
      </w:pPr>
      <w:r>
        <w:t>The Phase 1 MVP boundary conflicts with large portions of the unqualified journeys and FR inventory.</w:t>
      </w:r>
    </w:p>
    <w:p>
      <w:pPr>
        <w:pStyle w:val="ListNumber"/>
      </w:pPr>
      <w:r>
        <w:t>The system has no formal status/fence state machine, transition precedence, traversal depth, cycle detection, concurrency, idempotency, or causal-path release contract.</w:t>
      </w:r>
    </w:p>
    <w:p>
      <w:pPr>
        <w:pStyle w:val="ListNumber"/>
      </w:pPr>
      <w:r>
        <w:t>Salted SHA-256 over predictable campus identifiers is vulnerable to enumeration; key custody, rotation, collision, and migration are absent.</w:t>
      </w:r>
    </w:p>
    <w:p>
      <w:pPr>
        <w:pStyle w:val="ListNumber"/>
      </w:pPr>
      <w:r>
        <w:t>“Complete deletion” is not defined across the graph, vault, cache, certificates, questionnaire responses, analytics, notifications, logs, Kafka, backups, or active cases.</w:t>
      </w:r>
    </w:p>
    <w:p>
      <w:pPr>
        <w:pStyle w:val="ListNumber"/>
      </w:pPr>
      <w:r>
        <w:t>Lock-screen push, email subject, and SMS previews can reveal medical or exposure context.</w:t>
      </w:r>
    </w:p>
    <w:p>
      <w:pPr>
        <w:pStyle w:val="ListNumber"/>
      </w:pPr>
      <w:r>
        <w:t>Building/department filters and small cohorts can re-identify individuals through aggregation and differencing.</w:t>
      </w:r>
    </w:p>
    <w:p>
      <w:pPr>
        <w:pStyle w:val="ListNumber"/>
      </w:pPr>
      <w:r>
        <w:t>Signed QR tokens still need a nonce, audience binding, authenticated scanners, replay detection, and an explicit offline risk window.</w:t>
      </w:r>
    </w:p>
    <w:p>
      <w:pPr>
        <w:pStyle w:val="ListNumber"/>
      </w:pPr>
      <w:r>
        <w:t>LDAP fallback, stale JWT permissions, self-escalating role changes, last-admin lockout, and unaudited privileged operations create independent authorization risks.</w:t>
      </w:r>
    </w:p>
    <w:p>
      <w:pPr>
        <w:pStyle w:val="ListNumber"/>
      </w:pPr>
      <w:r>
        <w:t>A negative test can be early, forged, reused, or contradicted by a later exposure; the release evidence policy is missing.</w:t>
      </w:r>
    </w:p>
    <w:p>
      <w:pPr>
        <w:pStyle w:val="ListNumber"/>
      </w:pPr>
      <w:r>
        <w:t>Cross-service partial failure can leave graph, notifications, LMS, dashboard, gate, and audit state inconsistent.</w:t>
      </w:r>
    </w:p>
    <w:p>
      <w:r>
        <w:rPr>
          <w:b/>
        </w:rPr>
        <w:t>Human Edge — nuances the automated review did not emphasize as clearly:</w:t>
      </w:r>
    </w:p>
    <w:p>
      <w:pPr>
        <w:pStyle w:val="ListNumber"/>
      </w:pPr>
      <w:r>
        <w:t>The humans called out the exact subjective wording “Magic Door” and “calm typography” as non-verifiable design direction.</w:t>
      </w:r>
    </w:p>
    <w:p>
      <w:pPr>
        <w:pStyle w:val="ListNumber"/>
      </w:pPr>
      <w:r>
        <w:t>The humans noticed unexplained Spanish labels in an otherwise English UX specification and correctly raised the missing localization/i18n decision.</w:t>
      </w:r>
    </w:p>
    <w:p>
      <w:pPr>
        <w:pStyle w:val="ListNumber"/>
      </w:pPr>
      <w:r>
        <w:t>The Architecture reviewer concisely identified that the existing AP hardware, LMS integration, and multi-campus mechanism were not characterized.</w:t>
      </w:r>
    </w:p>
    <w:p>
      <w:pPr>
        <w:pStyle w:val="ListNumber"/>
      </w:pPr>
      <w:r>
        <w:t>The human audit was easier to prioritize at a glance because it selected a small set of concrete source defects; the automated lens output was much more comprehensive but contained intentional overlap and requires deduplication before backlog creation.</w:t>
      </w:r>
    </w:p>
    <w:p>
      <w:r>
        <w:rPr>
          <w:b/>
        </w:rPr>
        <w:t>Overall judgment:</w:t>
      </w:r>
      <w:r>
        <w:t xml:space="preserve"> BMad is deeper in all four required dimensions. The human review remains useful for source-language nuance and concise prioritization, but it is not a substitute for the automated state, failure, security, privacy, and cross-document coverage.</w:t>
      </w:r>
    </w:p>
    <w:p>
      <w:pPr>
        <w:pStyle w:val="Heading1"/>
      </w:pPr>
      <w:r>
        <w:t>Phase 1 Execution Evidence</w:t>
      </w:r>
    </w:p>
    <w:p>
      <w:pPr>
        <w:pStyle w:val="Heading2"/>
      </w:pPr>
      <w:r>
        <w:t>Environment</w:t>
      </w:r>
    </w:p>
    <w:p>
      <w:pPr>
        <w:pStyle w:val="ListBullet"/>
      </w:pPr>
      <w:r>
        <w:t xml:space="preserve">Required sequence completed: BMad </w:t>
      </w:r>
      <w:r>
        <w:rPr>
          <w:rFonts w:ascii="Consolas" w:hAnsi="Consolas"/>
          <w:color w:val="374151"/>
          <w:sz w:val="17"/>
        </w:rPr>
        <w:t>6.10.0</w:t>
      </w:r>
      <w:r>
        <w:t xml:space="preserve"> installation followed by BMad </w:t>
      </w:r>
      <w:r>
        <w:rPr>
          <w:rFonts w:ascii="Consolas" w:hAnsi="Consolas"/>
          <w:color w:val="374151"/>
          <w:sz w:val="17"/>
        </w:rPr>
        <w:t>6.12.0</w:t>
      </w:r>
      <w:r>
        <w:t xml:space="preserve"> quick update.</w:t>
      </w:r>
    </w:p>
    <w:p>
      <w:pPr>
        <w:pStyle w:val="ListBullet"/>
      </w:pPr>
      <w:r>
        <w:t xml:space="preserve">Final BMad version: </w:t>
      </w:r>
      <w:r>
        <w:rPr>
          <w:rFonts w:ascii="Consolas" w:hAnsi="Consolas"/>
          <w:color w:val="374151"/>
          <w:sz w:val="17"/>
        </w:rPr>
        <w:t>6.12.0</w:t>
      </w:r>
      <w:r>
        <w:t>.</w:t>
      </w:r>
    </w:p>
    <w:p>
      <w:pPr>
        <w:pStyle w:val="ListBullet"/>
      </w:pPr>
      <w:r>
        <w:t xml:space="preserve">WDS preserved and available: </w:t>
      </w:r>
      <w:r>
        <w:rPr>
          <w:rFonts w:ascii="Consolas" w:hAnsi="Consolas"/>
          <w:color w:val="374151"/>
          <w:sz w:val="17"/>
        </w:rPr>
        <w:t>v0.4.3</w:t>
      </w:r>
      <w:r>
        <w:t>.</w:t>
      </w:r>
    </w:p>
    <w:p>
      <w:pPr>
        <w:pStyle w:val="ListBullet"/>
      </w:pPr>
      <w:r>
        <w:t xml:space="preserve">Other installed modules: BMM </w:t>
      </w:r>
      <w:r>
        <w:rPr>
          <w:rFonts w:ascii="Consolas" w:hAnsi="Consolas"/>
          <w:color w:val="374151"/>
          <w:sz w:val="17"/>
        </w:rPr>
        <w:t>6.12.0</w:t>
      </w:r>
      <w:r>
        <w:t xml:space="preserve">, TEA </w:t>
      </w:r>
      <w:r>
        <w:rPr>
          <w:rFonts w:ascii="Consolas" w:hAnsi="Consolas"/>
          <w:color w:val="374151"/>
          <w:sz w:val="17"/>
        </w:rPr>
        <w:t>v1.26.0</w:t>
      </w:r>
      <w:r>
        <w:t>.</w:t>
      </w:r>
    </w:p>
    <w:p>
      <w:pPr>
        <w:pStyle w:val="ListBullet"/>
      </w:pPr>
      <w:r>
        <w:t>IDE integration: Codex, with 75 generated BMad skills.</w:t>
      </w:r>
    </w:p>
    <w:p>
      <w:pPr>
        <w:pStyle w:val="Heading2"/>
      </w:pPr>
      <w:r>
        <w:t>Commands / workflows executed</w:t>
      </w:r>
    </w:p>
    <w:p>
      <w:pPr>
        <w:spacing w:before="40" w:after="120"/>
        <w:ind w:left="288"/>
      </w:pPr>
      <w:r>
        <w:rPr>
          <w:rFonts w:ascii="Consolas" w:hAnsi="Consolas"/>
          <w:color w:val="1E293B"/>
          <w:sz w:val="16"/>
        </w:rPr>
        <w:t>npx --yes bmad-method@6.10.0 install --yes --directory . --modules bmm,wds,tea --tools codex</w:t>
        <w:br/>
        <w:t>npx --yes bmad-method@6.12.0 install --yes --directory . --action quick-update</w:t>
        <w:br/>
        <w:t>npx --yes bmad-method@6.12.0 status</w:t>
      </w:r>
    </w:p>
    <w:p>
      <w:pPr>
        <w:spacing w:before="40" w:after="120"/>
        <w:ind w:left="288"/>
      </w:pPr>
      <w:r>
        <w:rPr>
          <w:rFonts w:ascii="Consolas" w:hAnsi="Consolas"/>
          <w:color w:val="1E293B"/>
          <w:sz w:val="16"/>
        </w:rPr>
        <w:t>/bmad-prd validate</w:t>
        <w:br/>
        <w:t>/bmad-review _bmad-output/planning-artifacts/unit3-phase1/prd.md</w:t>
        <w:br/>
        <w:t xml:space="preserve">  lenses: Adversarial, Edge-Case Hunter</w:t>
      </w:r>
    </w:p>
    <w:p>
      <w:r>
        <w:t>For Worksheet 5.1 coverage, the same two lenses were additionally run against the extracted PRD + UX + Architecture bundle. Each analytical run used a fresh independent context and did not receive the previous human findings.</w:t>
      </w:r>
    </w:p>
    <w:p>
      <w:pPr>
        <w:pStyle w:val="Heading2"/>
      </w:pPr>
      <w:r>
        <w:t>Validation result</w:t>
      </w:r>
    </w:p>
    <w:p>
      <w:pPr>
        <w:spacing w:before="40" w:after="120"/>
        <w:ind w:left="288"/>
      </w:pPr>
      <w:r>
        <w:rPr>
          <w:rFonts w:ascii="Consolas" w:hAnsi="Consolas"/>
          <w:color w:val="1E293B"/>
          <w:sz w:val="16"/>
        </w:rPr>
        <w:t>Overall verdict: NOT DECISION-READY</w:t>
        <w:br/>
        <w:t>Decision-readiness: Broken</w:t>
        <w:br/>
        <w:t>Substance over theater: Thin</w:t>
        <w:br/>
        <w:t>Strategic coherence: Thin</w:t>
        <w:br/>
        <w:t>Done-ness clarity: Broken</w:t>
        <w:br/>
        <w:t>Scope honesty: Broken</w:t>
        <w:br/>
        <w:t>Downstream usability: Broken</w:t>
        <w:br/>
        <w:t>Shape fit: Broken</w:t>
        <w:br/>
        <w:t>Rubric findings: 4 Critical · 13 High · 4 Medium · 0 Low</w:t>
      </w:r>
    </w:p>
    <w:p>
      <w:pPr>
        <w:pStyle w:val="Heading2"/>
      </w:pPr>
      <w:r>
        <w:t>Review output counts</w:t>
      </w:r>
    </w:p>
    <w:p>
      <w:pPr>
        <w:spacing w:before="40" w:after="120"/>
        <w:ind w:left="288"/>
      </w:pPr>
      <w:r>
        <w:rPr>
          <w:rFonts w:ascii="Consolas" w:hAnsi="Consolas"/>
          <w:color w:val="1E293B"/>
          <w:sz w:val="16"/>
        </w:rPr>
        <w:t>PRD · Adversarial:              22 findings</w:t>
        <w:br/>
        <w:t>PRD · Edge-Case Hunter:         49 findings</w:t>
        <w:br/>
        <w:t>Full bundle · Adversarial:      20 findings</w:t>
        <w:br/>
        <w:t>Full bundle · Edge-Case Hunter: 57 findings</w:t>
      </w:r>
    </w:p>
    <w:p>
      <w:r>
        <w:t>These are raw independent-lens counts, not a count of unique defects. Repeated conclusions across lenses increase confidence but must not be double-counted.</w:t>
      </w:r>
    </w:p>
    <w:p>
      <w:pPr>
        <w:pStyle w:val="Heading1"/>
      </w:pPr>
      <w:r>
        <w:t>Phase 1 Sign-Off</w:t>
      </w:r>
    </w:p>
    <w:p>
      <w:r>
        <w:t xml:space="preserve">Phase 1 Automated Audit &amp; Benchmarking is complete. The outcome is a </w:t>
      </w:r>
      <w:r>
        <w:rPr>
          <w:b/>
        </w:rPr>
        <w:t>FAIL-level specification diagnosis for implementation purposes</w:t>
      </w:r>
      <w:r>
        <w:t>: BMad 6.12 is correctly installed with WDS preserved, but CircleGuard should not proceed to autonomous code generation until the critical scope, state-machine, privacy, and cross-document defects are resolved in later laboratory phases.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BMad 6.12.0 · WDS v0.4.3 · 2026-09-14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CircleGuard · Worksheet 5 · Phase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91B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A580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5 — Phase 1: Automated Audit &amp; Benchmarking</dc:title>
  <dc:subject>CircleGuard BMad 6.10 to 6.12 audit benchmark</dc:subject>
  <dc:creator>CircleGuard Triad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