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ptos Display" w:hAnsi="Aptos Display"/>
          <w:b/>
          <w:color w:val="302A42"/>
          <w:sz w:val="68"/>
        </w:rPr>
        <w:t>MIGRACIÓN A</w:t>
        <w:br/>
        <w:t>ANGULAR 22</w:t>
      </w:r>
    </w:p>
    <w:p>
      <w:pPr>
        <w:jc w:val="center"/>
      </w:pPr>
      <w:r>
        <w:rPr>
          <w:color w:val="7155D9"/>
          <w:sz w:val="32"/>
        </w:rPr>
        <w:t>Informe técnico por capas y componentes</w:t>
      </w:r>
    </w:p>
    <w:p>
      <w:pPr>
        <w:spacing w:before="360"/>
        <w:jc w:val="center"/>
      </w:pPr>
      <w:r>
        <w:rPr>
          <w:sz w:val="22"/>
        </w:rPr>
        <w:t>Frontend · Proyecto-FullStackfrontend</w:t>
        <w:br/>
        <w:t>Rama integrada: main · Corte documental: 28 de octubre de 2026</w:t>
      </w:r>
    </w:p>
    <w:p>
      <w:pPr>
        <w:spacing w:before="1200"/>
        <w:jc w:val="center"/>
      </w:pPr>
      <w:r>
        <w:rPr>
          <w:i/>
        </w:rPr>
        <w:t>Alcance: Angular 18 → 22, configuración de compilación, pruebas y animaciones.</w:t>
        <w:br/>
        <w:t>El informe describe lo que reflejan los commits de migración integrados.</w:t>
      </w:r>
    </w:p>
    <w:p>
      <w:r>
        <w:br w:type="page"/>
      </w:r>
    </w:p>
    <w:p>
      <w:pPr>
        <w:pStyle w:val="Title"/>
      </w:pPr>
      <w:r>
        <w:t>1. Resumen ejecutivo</w:t>
      </w:r>
    </w:p>
    <w:p>
      <w:pPr>
        <w:spacing w:after="100"/>
      </w:pPr>
      <w:r>
        <w:t>La aplicación frontend se actualizó de forma progresiva desde Angular 18 hasta Angular 22. La etapa final completó Angular 21 → 22 y fue seguida por dos refactorizaciones: el cambio del runner de pruebas Karma/Jasmine a Vitest y la eliminación de la API legacy @angular/animations en las pantallas de inicio de sesión y dashboard.</w:t>
      </w:r>
    </w:p>
    <w:p>
      <w:pPr>
        <w:spacing w:after="100"/>
      </w:pPr>
      <w:r>
        <w:t>La migración mantuvo la arquitectura funcional de la aplicación: componentes standalone, rutas, servicios HTTP, autenticación JWT, formularios y componentes Angular Material. El foco estuvo en compatibilidad de framework y herramientas, no en rediseñar el dominio o las API del backend.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7155D9"/>
          </w:tcPr>
          <w:p>
            <w:r>
              <w:t>Área</w:t>
            </w: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4997"/>
            <w:vAlign w:val="center"/>
            <w:shd w:fill="7155D9"/>
          </w:tcPr>
          <w:p>
            <w:r/>
            <w:r>
              <w:rPr>
                <w:b/>
                <w:color w:val="FFFFFF"/>
                <w:sz w:val="17"/>
              </w:rPr>
              <w:t>Resultado final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Framework</w:t>
            </w:r>
          </w:p>
        </w:tc>
        <w:tc>
          <w:tcPr>
            <w:tcW w:type="dxa" w:w="4997"/>
            <w:vAlign w:val="center"/>
          </w:tcPr>
          <w:p>
            <w:r>
              <w:t>Paquetes Angular y Angular Material/CDK en línea 22; Angular CLI y compiler-cli 22.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Build</w:t>
            </w:r>
          </w:p>
        </w:tc>
        <w:tc>
          <w:tcPr>
            <w:tcW w:type="dxa" w:w="4997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Builder moderno @angular/build para application, dev-server y extract-i18n.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Pruebas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Angular unit-test builder con Vitest, jsdom y tipos globales Vitest.</w:t>
            </w:r>
          </w:p>
        </w:tc>
      </w:tr>
      <w:tr>
        <w:tc>
          <w:tcPr>
            <w:tcW w:type="dxa" w:w="4997"/>
            <w:vAlign w:val="center"/>
            <w:shd w:fill="F4F1FA"/>
          </w:tcPr>
          <w:p>
            <w:r>
              <w:t>Animación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4997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Se elimina @angular/animations y provideAnimations; las entradas visuales se expresan con animate.enter y CSS.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Compatibilidad</w:t>
            </w:r>
          </w:p>
        </w:tc>
        <w:tc>
          <w:tcPr>
            <w:tcW w:type="dxa" w:w="4997"/>
            <w:vAlign w:val="center"/>
          </w:tcPr>
          <w:p>
            <w:r>
              <w:t>TypeScript 6, zone.js 0.16 y configuración explícita de detección Eager en componentes para conservar el modo previsto.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Estado observado</w:t>
            </w:r>
          </w:p>
        </w:tc>
        <w:tc>
          <w:tcPr>
            <w:tcW w:type="dxa" w:w="4997"/>
            <w:vAlign w:val="center"/>
            <w:shd w:fill="F4F1FA"/>
          </w:tcPr>
          <w:p>
            <w:r>
              <w:t>La rama main contiene el merge de migración y posteriores ajustes de interfaz. La última verificación registrada durante el trabajo fue 92 pruebas aprobadas y build de producción exitoso; hubo avisos de presupuesto de tamaño.</w:t>
            </w:r>
            <w:r>
              <w:rPr>
                <w:b w:val="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2. Alcance, método y cronología</w:t>
      </w:r>
    </w:p>
    <w:p>
      <w:pPr>
        <w:spacing w:after="100"/>
      </w:pPr>
      <w:r>
        <w:t>La documentación se elaboró contrastando los commits de migración con package.json, angular.json, tsconfig y el código actual. Se distingue entre la actualización gradual del framework y las refactorizaciones posteriores de test y animación.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7155D9"/>
          </w:tcPr>
          <w:p>
            <w:r/>
            <w:r>
              <w:rPr>
                <w:b/>
                <w:color w:val="FFFFFF"/>
                <w:sz w:val="17"/>
              </w:rPr>
              <w:t>Commit</w:t>
            </w:r>
          </w:p>
        </w:tc>
        <w:tc>
          <w:tcPr>
            <w:tcW w:type="dxa" w:w="3331"/>
            <w:vAlign w:val="center"/>
            <w:shd w:fill="7155D9"/>
          </w:tcPr>
          <w:p>
            <w:r/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331"/>
            <w:vAlign w:val="center"/>
            <w:shd w:fill="7155D9"/>
          </w:tcPr>
          <w:p>
            <w:r/>
            <w:r>
              <w:rPr>
                <w:b/>
                <w:color w:val="FFFFFF"/>
                <w:sz w:val="17"/>
              </w:rPr>
              <w:t>Cambio principal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3f1e69d</w:t>
            </w:r>
          </w:p>
        </w:tc>
        <w:tc>
          <w:tcPr>
            <w:tcW w:type="dxa" w:w="3331"/>
            <w:vAlign w:val="center"/>
          </w:tcPr>
          <w:p>
            <w:r>
              <w:t>Angular 18 → 19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31"/>
            <w:vAlign w:val="center"/>
          </w:tcPr>
          <w:p>
            <w:r>
              <w:t>Actualización incremental de plataforma y dependencias.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ff55f0d</w:t>
            </w:r>
          </w:p>
        </w:tc>
        <w:tc>
          <w:tcPr>
            <w:tcW w:type="dxa" w:w="3331"/>
            <w:vAlign w:val="center"/>
            <w:shd w:fill="F4F1FA"/>
          </w:tcPr>
          <w:p>
            <w:r>
              <w:t>Angular 19 → 20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Siguiente salto mayor, conservando la arquitectura de la app.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06e1e67</w:t>
            </w:r>
          </w:p>
        </w:tc>
        <w:tc>
          <w:tcPr>
            <w:tcW w:type="dxa" w:w="3331"/>
            <w:vAlign w:val="center"/>
          </w:tcPr>
          <w:p>
            <w:r>
              <w:t>Angular 20 → 21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31"/>
            <w:vAlign w:val="center"/>
          </w:tcPr>
          <w:p>
            <w:r>
              <w:t>Actualización de dependencias y compatibilidad.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c96134f</w:t>
            </w:r>
          </w:p>
        </w:tc>
        <w:tc>
          <w:tcPr>
            <w:tcW w:type="dxa" w:w="3331"/>
            <w:vAlign w:val="center"/>
            <w:shd w:fill="F4F1FA"/>
          </w:tcPr>
          <w:p>
            <w:r>
              <w:t>Angular 21 → 22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31"/>
            <w:vAlign w:val="center"/>
            <w:shd w:fill="F4F1FA"/>
          </w:tcPr>
          <w:p>
            <w:r>
              <w:t>Angular 22, builder @angular/build, TypeScript 6, zone.js 0.16; Eager explícito; ajustes de diagnósticos.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7bb32c0</w:t>
            </w:r>
          </w:p>
        </w:tc>
        <w:tc>
          <w:tcPr>
            <w:tcW w:type="dxa" w:w="3331"/>
            <w:vAlign w:val="center"/>
          </w:tcPr>
          <w:p>
            <w:r>
              <w:t>Karma/Jasmine → Vitest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31"/>
            <w:vAlign w:val="center"/>
          </w:tcPr>
          <w:p>
            <w:r>
              <w:t>Nuevo runner Angular, dependencias de test y conversión de pruebas.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d55aaea</w:t>
            </w:r>
          </w:p>
        </w:tc>
        <w:tc>
          <w:tcPr>
            <w:tcW w:type="dxa" w:w="3331"/>
            <w:vAlign w:val="center"/>
            <w:shd w:fill="F4F1FA"/>
          </w:tcPr>
          <w:p>
            <w:r>
              <w:t>Animaciones legacy → CSS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Retirada de @angular/animations/provideAnimations; CSS y animate.enter.</w:t>
            </w:r>
          </w:p>
        </w:tc>
      </w:tr>
    </w:tbl>
    <w:p>
      <w:pPr>
        <w:spacing w:after="20"/>
      </w:pPr>
    </w:p>
    <w:p>
      <w:pPr>
        <w:spacing w:after="100"/>
      </w:pPr>
      <w:r>
        <w:t>La migración Angular 18 → 22 no se hizo en un solo salto: se conservaron commits por versión mayor para reducir el tamaño de cada cambio y poder localizar regresiones por etapa.</w:t>
      </w:r>
    </w:p>
    <w:p>
      <w:pPr>
        <w:pStyle w:val="Heading1"/>
      </w:pPr>
      <w:r>
        <w:t>3. Cambios capa por capa</w:t>
      </w:r>
    </w:p>
    <w:p>
      <w:pPr>
        <w:pStyle w:val="Heading2"/>
      </w:pPr>
      <w:r>
        <w:t>3.1 Dependencias y versiones</w:t>
      </w:r>
    </w:p>
    <w:p>
      <w:pPr>
        <w:pStyle w:val="ListBullet"/>
        <w:spacing w:after="40"/>
      </w:pPr>
      <w:r>
        <w:t>Angular core/common/compiler/forms/router/platform-browser, Angular CLI, compiler-cli, Material y CDK quedaron en versiones 22.x. El lockfile se regeneró para reflejar el árbol de dependencias compatible.</w:t>
      </w:r>
    </w:p>
    <w:p>
      <w:pPr>
        <w:pStyle w:val="ListBullet"/>
        <w:spacing w:after="40"/>
      </w:pPr>
      <w:r>
        <w:t>TypeScript pasó de ~5.9 a ~6.0; zone.js pasó de ~0.15 a ^0.16.3.</w:t>
      </w:r>
    </w:p>
    <w:p>
      <w:pPr>
        <w:pStyle w:val="ListBullet"/>
        <w:spacing w:after="40"/>
      </w:pPr>
      <w:r>
        <w:t>Se retiraron @angular-devkit/build-angular y @angular/animations al consolidar el builder nuevo y las animaciones CSS.</w:t>
      </w:r>
    </w:p>
    <w:p>
      <w:pPr>
        <w:pStyle w:val="ListBullet"/>
        <w:spacing w:after="40"/>
      </w:pPr>
      <w:r>
        <w:t>Para pruebas se retiraron Jasmine/Karma y sus adaptadores; se añadieron Vitest y jsdom. istanbul-lib-instrument permanece para instrumentación de cobertura.</w:t>
      </w:r>
    </w:p>
    <w:p>
      <w:pPr>
        <w:spacing w:before="60" w:after="140"/>
        <w:ind w:left="259"/>
        <w:shd w:fill="F2EFF8"/>
      </w:pPr>
      <w:r>
        <w:rPr>
          <w:rFonts w:ascii="Cascadia Code" w:hAnsi="Cascadia Code"/>
          <w:color w:val="342B4B"/>
          <w:sz w:val="16"/>
        </w:rPr>
        <w:t>Antes (resumen): @angular/* 21.x → TypeScript 5.9 → Karma/Jasmine → zone.js 0.15</w:t>
        <w:br/>
        <w:t>Después: @angular/* 22.x · TypeScript 6 · Vitest/jsdom → zone.js 0.16</w:t>
      </w:r>
    </w:p>
    <w:p>
      <w:pPr>
        <w:pStyle w:val="Heading2"/>
      </w:pPr>
      <w:r>
        <w:t>3.2 CLI, builder y compilación</w:t>
      </w:r>
    </w:p>
    <w:p>
      <w:pPr>
        <w:spacing w:after="100"/>
      </w:pPr>
      <w:r>
        <w:t>En angular.json se cambiaron los builders del paquete @angular-devkit/build-angular por los builders del paquete @angular/build. Build, serve y extract-i18n conservan su función; el target test ahora usa unit-test y el runner Vitest.</w:t>
      </w:r>
    </w:p>
    <w:p>
      <w:pPr>
        <w:spacing w:before="60" w:after="140"/>
        <w:ind w:left="259"/>
        <w:shd w:fill="F2EFF8"/>
      </w:pPr>
      <w:r>
        <w:rPr>
          <w:rFonts w:ascii="Cascadia Code" w:hAnsi="Cascadia Code"/>
          <w:color w:val="342B4B"/>
          <w:sz w:val="16"/>
        </w:rPr>
        <w:t>"build": { "builder": "@angular/build:application", ... }</w:t>
        <w:br/>
        <w:t>"test": { "builder": "@angular/build:unit-test",</w:t>
        <w:br/>
        <w:t xml:space="preserve">  "options": { "tsConfig": "tsconfig.spec.json",</w:t>
        <w:br/>
        <w:t xml:space="preserve">    "buildTarget": ":build:testing", "runner": "vitest" } }</w:t>
      </w:r>
    </w:p>
    <w:p>
      <w:pPr>
        <w:spacing w:after="100"/>
      </w:pPr>
      <w:r>
        <w:t>La configuración testing desactiva AOT y optimización para facilitar la instrumentación de pruebas y añade zone.js/testing junto con zone.js/plugins/vitest-patch. Las configuraciones de producción y desarrollo continúan controlando optimización, source maps, hashing y presupuestos.</w:t>
      </w:r>
    </w:p>
    <w:p>
      <w:pPr>
        <w:pStyle w:val="Heading2"/>
      </w:pPr>
      <w:r>
        <w:t>3.3 Bootstrap y capa de red</w:t>
      </w:r>
    </w:p>
    <w:p>
      <w:pPr>
        <w:spacing w:after="100"/>
      </w:pPr>
      <w:r>
        <w:t>app.config.ts continúa usando ApplicationConfig y providers funcionales: detección de cambios por Zone, Router, HttpClient e interceptor JWT. Para el transporte HTTP se añadió withXhr() junto a withInterceptors([jwtInterceptor]); así se mantiene el uso de XMLHttpRequest mientras se instala el interceptor funcional de autenticación.</w:t>
      </w:r>
    </w:p>
    <w:p>
      <w:pPr>
        <w:spacing w:before="60" w:after="140"/>
        <w:ind w:left="259"/>
        <w:shd w:fill="F2EFF8"/>
      </w:pPr>
      <w:r>
        <w:rPr>
          <w:rFonts w:ascii="Cascadia Code" w:hAnsi="Cascadia Code"/>
          <w:color w:val="342B4B"/>
          <w:sz w:val="16"/>
        </w:rPr>
        <w:t>provideZoneChangeDetection({ eventCoalescing: true }),</w:t>
        <w:br/>
        <w:t>provideRouter(routes),</w:t>
        <w:br/>
        <w:t>provideHttpClient(withXhr(), withInterceptors([jwtInterceptor]))</w:t>
      </w:r>
    </w:p>
    <w:p>
      <w:pPr>
        <w:spacing w:after="100"/>
      </w:pPr>
      <w:r>
        <w:t>En la siguiente etapa, al reemplazar animaciones, se eliminó provideAnimations(). La autenticación y el contrato HTTP no se sustituyeron; el cambio fue de configuración de compatibilidad/renderizado.</w:t>
      </w:r>
    </w:p>
    <w:p>
      <w:pPr>
        <w:pStyle w:val="Heading2"/>
      </w:pPr>
      <w:r>
        <w:t>3.4 Compilador y TypeScript</w:t>
      </w:r>
    </w:p>
    <w:p>
      <w:pPr>
        <w:spacing w:after="100"/>
      </w:pPr>
      <w:r>
        <w:t>tsconfig.app.json y tsconfig.spec.json recibieron configuración de extendedDiagnostics. Se suprimen dos diagnósticos extendidos (nullishCoalescingNotNullable y optionalChainNotNullable) porque el upgrade los reportaba en expresiones existentes que se apoyan en tipos externos o contratos de datos. Esta supresión no desactiva el chequeo general de TypeScript; acota esos dos avisos específicos.</w:t>
      </w:r>
    </w:p>
    <w:p>
      <w:pPr>
        <w:pStyle w:val="Heading2"/>
      </w:pPr>
      <w:r>
        <w:t>3.5 Detección de cambios y componentes standalone</w:t>
      </w:r>
    </w:p>
    <w:p>
      <w:pPr>
        <w:spacing w:after="100"/>
      </w:pPr>
      <w:r>
        <w:t>Los componentes standalone ya usaban imports explícitos en sus metadatos. Durante el salto a Angular 22 se hizo explícito ChangeDetectionStrategy.Eager en los componentes migrados, para fijar el comportamiento esperado del renderizado y evitar depender de cambios de valor por defecto entre versiones.</w:t>
      </w:r>
    </w:p>
    <w:p>
      <w:pPr>
        <w:spacing w:before="60" w:after="140"/>
        <w:ind w:left="259"/>
        <w:shd w:fill="F2EFF8"/>
      </w:pPr>
      <w:r>
        <w:rPr>
          <w:rFonts w:ascii="Cascadia Code" w:hAnsi="Cascadia Code"/>
          <w:color w:val="342B4B"/>
          <w:sz w:val="16"/>
        </w:rPr>
        <w:t>@Component({</w:t>
        <w:br/>
        <w:t xml:space="preserve">  standalone: true,</w:t>
        <w:br/>
        <w:t xml:space="preserve">  imports: [...],</w:t>
        <w:br/>
        <w:t xml:space="preserve">  changeDetection: ChangeDetectionStrategy.Eager</w:t>
        <w:br/>
        <w:t>})</w:t>
      </w:r>
    </w:p>
    <w:p>
      <w:pPr>
        <w:spacing w:after="100"/>
      </w:pPr>
      <w:r>
        <w:t>Eager es una estrategia de detección; no es una señal ni convierte automáticamente el estado a signals. Las signals que ya existían se mantienen donde representan estado reactivo local, por ejemplo cargando, errores, usuarios y selecciones.</w:t>
      </w:r>
    </w:p>
    <w:p>
      <w:pPr>
        <w:pStyle w:val="Heading2"/>
      </w:pPr>
      <w:r>
        <w:t>3.6 Pruebas: estructura y ejecución</w:t>
      </w:r>
    </w:p>
    <w:p>
      <w:pPr>
        <w:pStyle w:val="ListBullet"/>
        <w:spacing w:after="40"/>
      </w:pPr>
      <w:r>
        <w:t>Los archivos *.spec.ts se actualizaron de APIs Jasmine a Vitest: espías vi.spyOn/vi.fn, mocks y tipos Mock/MockedObject.</w:t>
      </w:r>
    </w:p>
    <w:p>
      <w:pPr>
        <w:pStyle w:val="ListBullet"/>
        <w:spacing w:after="40"/>
      </w:pPr>
      <w:r>
        <w:t>El TestBed de Angular sigue creando componentes y servicios; HttpTestingController continúa verificando peticiones HTTP.</w:t>
      </w:r>
    </w:p>
    <w:p>
      <w:pPr>
        <w:pStyle w:val="ListBullet"/>
        <w:spacing w:after="40"/>
      </w:pPr>
      <w:r>
        <w:t>tsconfig.spec.json reemplaza los tipos jasmine por vitest/globals.</w:t>
      </w:r>
    </w:p>
    <w:p>
      <w:pPr>
        <w:pStyle w:val="ListBullet"/>
        <w:spacing w:after="40"/>
      </w:pPr>
      <w:r>
        <w:t>jsdom provee un entorno DOM simulado para pruebas de componentes; zone.js/testing integra la detección y estabilidad Angular, y vitest-patch enlaza Zone con el runner.</w:t>
      </w:r>
    </w:p>
    <w:p>
      <w:pPr>
        <w:spacing w:before="60" w:after="140"/>
        <w:ind w:left="259"/>
        <w:shd w:fill="F2EFF8"/>
      </w:pPr>
      <w:r>
        <w:rPr>
          <w:rFonts w:ascii="Cascadia Code" w:hAnsi="Cascadia Code"/>
          <w:color w:val="342B4B"/>
          <w:sz w:val="16"/>
        </w:rPr>
        <w:t>import type { Mock } from 'vitest';</w:t>
        <w:br/>
        <w:t>vi.spyOn(servicio, 'metodo');</w:t>
        <w:br/>
        <w:t>expect(servicio.metodo).toHaveBeenCalled();</w:t>
      </w:r>
    </w:p>
    <w:p>
      <w:pPr>
        <w:spacing w:after="100"/>
      </w:pPr>
      <w:r>
        <w:t>No cambió el propósito funcional de cada spec: se trasladaron las herramientas de ejecución, mock y aserción para que sigan cubriendo la misma conducta observable.</w:t>
      </w:r>
    </w:p>
    <w:p>
      <w:pPr>
        <w:pStyle w:val="Heading2"/>
      </w:pPr>
      <w:r>
        <w:t>3.7 Animaciones y accesibilidad de movimiento</w:t>
      </w:r>
    </w:p>
    <w:p>
      <w:pPr>
        <w:spacing w:after="100"/>
      </w:pPr>
      <w:r>
        <w:t>La implementación legacy definía triggers, estados, transiciones, temporizadores y hooks de destrucción en TypeScript. La migración los reemplazó por clases CSS declaradas con animate.enter; los retardos y duraciones se entregan mediante propiedades CSS personalizadas. Se mantiene la preferencia prefers-reduced-motion con duración y desplazamiento reducidos.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7155D9"/>
          </w:tcPr>
          <w:p>
            <w:r/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3331"/>
            <w:vAlign w:val="center"/>
            <w:shd w:fill="7155D9"/>
          </w:tcPr>
          <w:p>
            <w:r/>
            <w:r>
              <w:rPr>
                <w:b/>
                <w:color w:val="FFFFFF"/>
                <w:sz w:val="17"/>
              </w:rPr>
              <w:t>Antes</w:t>
            </w:r>
          </w:p>
        </w:tc>
        <w:tc>
          <w:tcPr>
            <w:tcW w:type="dxa" w:w="3331"/>
            <w:vAlign w:val="center"/>
            <w:shd w:fill="7155D9"/>
          </w:tcPr>
          <w:p>
            <w:r>
              <w:t>Después</w:t>
            </w: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3331"/>
            <w:vAlign w:val="center"/>
          </w:tcPr>
          <w:p>
            <w:r>
              <w:t>Inicio de sesión (InicioComponent)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31"/>
            <w:vAlign w:val="center"/>
          </w:tcPr>
          <w:p>
            <w:r>
              <w:t>trigger/transition de Angular, estado oculto/visible, lista de parámetros por elemento y temporizador OnInit/OnDestroy.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animate.enter="login-enter", clase CSS de entrada, retrasos por elemento y variables --entrada-duracion/--entrada-desplazamiento.</w:t>
            </w:r>
          </w:p>
        </w:tc>
      </w:tr>
      <w:tr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DashboardComponent</w:t>
            </w:r>
          </w:p>
        </w:tc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Trigger entradaDashboard, timers para cabecera/contenido y signals de visibilidad.</w:t>
            </w:r>
          </w:p>
        </w:tc>
        <w:tc>
          <w:tcPr>
            <w:tcW w:type="dxa" w:w="3331"/>
            <w:vAlign w:val="center"/>
            <w:shd w:fill="F4F1FA"/>
          </w:tcPr>
          <w:p>
            <w:r>
              <w:t>Clase dashboard-enter en el encabezado y tarjetas, retrasos CSS escalonados y duracionEntrada; se eliminan temporizadores de animación.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331"/>
            <w:vAlign w:val="center"/>
          </w:tcPr>
          <w:p>
            <w:r>
              <w:t>Configuración raíz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provideAnimations() en app.config y dependencia @angular/animations.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Proveedor y dependencia eliminados; keyframes y media query viven en CSS.</w:t>
            </w:r>
          </w:p>
        </w:tc>
      </w:tr>
    </w:tbl>
    <w:p>
      <w:pPr>
        <w:spacing w:after="20"/>
      </w:pPr>
    </w:p>
    <w:p>
      <w:pPr>
        <w:spacing w:after="100"/>
      </w:pPr>
      <w:r>
        <w:t>Las animaciones son decorativas y no controlan el estado de carga ni el éxito de operaciones. Al retirar los temporizadores visuales, el flujo de datos queda separado del efecto de entrada.</w:t>
      </w:r>
    </w:p>
    <w:p>
      <w:pPr>
        <w:pStyle w:val="Heading1"/>
      </w:pPr>
      <w:r>
        <w:t>4. Detalle por componente y archivo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7155D9"/>
          </w:tcPr>
          <w:p>
            <w:r/>
            <w:r>
              <w:rPr>
                <w:b/>
                <w:color w:val="FFFFFF"/>
                <w:sz w:val="17"/>
              </w:rPr>
              <w:t>Componente/archivo</w:t>
            </w:r>
          </w:p>
        </w:tc>
        <w:tc>
          <w:tcPr>
            <w:tcW w:type="dxa" w:w="4997"/>
            <w:vAlign w:val="center"/>
            <w:shd w:fill="7155D9"/>
          </w:tcPr>
          <w:p>
            <w:r>
              <w:t>Cambios atribuibles a la migración</w:t>
            </w: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AppComponent (app.component.ts)</w:t>
            </w:r>
          </w:p>
        </w:tc>
        <w:tc>
          <w:tcPr>
            <w:tcW w:type="dxa" w:w="4997"/>
            <w:vAlign w:val="center"/>
          </w:tcPr>
          <w:p>
            <w:r>
              <w:t>Se añade ChangeDetectionStrategy.Eager explícita. Continúa alojando RouterOutlet y FeedbackComponent.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InicioComponent (inicio.component.ts/html/css/spec)</w:t>
            </w:r>
          </w:p>
        </w:tc>
        <w:tc>
          <w:tcPr>
            <w:tcW w:type="dxa" w:w="4997"/>
            <w:vAlign w:val="center"/>
            <w:shd w:fill="F4F1FA"/>
          </w:tcPr>
          <w:p>
            <w:r>
              <w:t>Eager explícito en actualización de versión. Después se quitan imports de @angular/animations, trigger y hooks dedicados a temporizador. El template usa animate.enter con parámetros CSS; CSS contiene login-enter y soporte de movimiento reducido. Su spec deja de depender de los estados y temporizadores legacy.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DashboardComponent (dashboard.component.ts/html/css/spec)</w:t>
            </w:r>
          </w:p>
        </w:tc>
        <w:tc>
          <w:tcPr>
            <w:tcW w:type="dxa" w:w="4997"/>
            <w:vAlign w:val="center"/>
          </w:tcPr>
          <w:p>
            <w:r>
              <w:t>Eager explícito. Se elimina OnDestroy y el estado/timers usados solo para animación. resumen/cargando/mensajeError permanecen; duracionEntrada se usa para la animación CSS escalonada de header y tarjetas. El spec cambia sus expectativas de animación al nuevo mecanismo.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PersonasComponent</w:t>
            </w:r>
          </w:p>
        </w:tc>
        <w:tc>
          <w:tcPr>
            <w:tcW w:type="dxa" w:w="4997"/>
            <w:vAlign w:val="center"/>
            <w:shd w:fill="F4F1FA"/>
          </w:tcPr>
          <w:p>
            <w:r>
              <w:t>Eager explícito; conserva signal para lista, carga, error y eliminación, además de FormsModule y MatTable. Sus pruebas cambian a Vitest.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PersonasDesactivadasComponent</w:t>
            </w:r>
          </w:p>
        </w:tc>
        <w:tc>
          <w:tcPr>
            <w:tcW w:type="dxa" w:w="4997"/>
            <w:vAlign w:val="center"/>
          </w:tcPr>
          <w:p>
            <w:r>
              <w:t>Eager explícito; mantiene carga, error, búsqueda y personasFiltradas como estado reactivo. Spec adaptado a Vitest.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ContactosListaComponent</w:t>
            </w:r>
          </w:p>
        </w:tc>
        <w:tc>
          <w:tcPr>
            <w:tcW w:type="dxa" w:w="4997"/>
            <w:vAlign w:val="center"/>
            <w:shd w:fill="F4F1FA"/>
          </w:tcPr>
          <w:p>
            <w:r>
              <w:t>Eager explícito; servicios inyectados y carga de contactos se mantienen. Prueba convertida a Vitest.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ContactosComponent</w:t>
            </w:r>
          </w:p>
        </w:tc>
        <w:tc>
          <w:tcPr>
            <w:tcW w:type="dxa" w:w="4997"/>
            <w:vAlign w:val="center"/>
          </w:tcPr>
          <w:p>
            <w:r>
              <w:t>La estrategia ChangeDetectionStrategy.OnPush se conserva; ya existía antes de Angular 22 y no se le añadió Eager. Se mantienen formularios reactivos y validaciones; el spec se migró de Jasmine a Vitest.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RegistroComponent</w:t>
            </w:r>
          </w:p>
        </w:tc>
        <w:tc>
          <w:tcPr>
            <w:tcW w:type="dxa" w:w="4997"/>
            <w:vAlign w:val="center"/>
            <w:shd w:fill="F4F1FA"/>
          </w:tcPr>
          <w:p>
            <w:r>
              <w:t>Eager explícito; conserva ReactiveFormsModule, FormArray/FormGroup, carga de persona y validaciones. Spec convertido a Vitest.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CuentaComponent</w:t>
            </w:r>
          </w:p>
        </w:tc>
        <w:tc>
          <w:tcPr>
            <w:tcW w:type="dxa" w:w="4997"/>
            <w:vAlign w:val="center"/>
          </w:tcPr>
          <w:p>
            <w:r>
              <w:t>Eager explícito; edición de credenciales y formularios continúan con la misma lógica. Spec pasa a Vitest.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AdminLayoutComponent</w:t>
            </w:r>
          </w:p>
        </w:tc>
        <w:tc>
          <w:tcPr>
            <w:tcW w:type="dxa" w:w="4997"/>
            <w:vAlign w:val="center"/>
            <w:shd w:fill="F4F1FA"/>
          </w:tcPr>
          <w:p>
            <w:r>
              <w:t>Eager explícito; RouterOutlet, sidebar, toolbar y lectura de cuenta siguen siendo la estructura compartida. La observación de breakpoint usa toSignal y permanece.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SidebarComponent</w:t>
            </w:r>
          </w:p>
        </w:tc>
        <w:tc>
          <w:tcPr>
            <w:tcW w:type="dxa" w:w="4997"/>
            <w:vAlign w:val="center"/>
          </w:tcPr>
          <w:p>
            <w:r>
              <w:t>Eager explícito; la navegación y rutas activas permanecen; signals/computed siguen calculando estado de ruta. Su spec adopta Vitest.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FeedbackComponent</w:t>
            </w:r>
          </w:p>
        </w:tc>
        <w:tc>
          <w:tcPr>
            <w:tcW w:type="dxa" w:w="4997"/>
            <w:vAlign w:val="center"/>
            <w:shd w:fill="F4F1FA"/>
          </w:tcPr>
          <w:p>
            <w:r>
              <w:t>Eager explícito; conserva el servicio de avisos/confirmación y su ciclo de vista. La prueba del servicio se traslada a Vitest.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b w:val="0"/>
                <w:sz w:val="17"/>
              </w:rPr>
              <w:t>TarjetaUsuarioComponent</w:t>
            </w:r>
          </w:p>
        </w:tc>
        <w:tc>
          <w:tcPr>
            <w:tcW w:type="dxa" w:w="4997"/>
            <w:vAlign w:val="center"/>
          </w:tcPr>
          <w:p>
            <w:r>
              <w:t>Eager explícito; componente de presentación mantiene sus entradas/salidas. No hay cambio de dominio asociado a la migración.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997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Servicios e interceptor</w:t>
            </w:r>
          </w:p>
        </w:tc>
        <w:tc>
          <w:tcPr>
            <w:tcW w:type="dxa" w:w="4997"/>
            <w:vAlign w:val="center"/>
            <w:shd w:fill="F4F1FA"/>
          </w:tcPr>
          <w:p>
            <w:r>
              <w:t>AuthService, PersonasService y jwtInterceptor mantienen contratos y flujos; sus pruebas cambian de Jasmine a Vitest. La configuración HttpClient conserva el interceptor y añade withXhr().</w:t>
            </w:r>
            <w:r>
              <w:rPr>
                <w:b w:val="0"/>
                <w:sz w:val="17"/>
              </w:rPr>
            </w:r>
          </w:p>
        </w:tc>
      </w:tr>
    </w:tbl>
    <w:p>
      <w:pPr>
        <w:spacing w:after="20"/>
      </w:pPr>
    </w:p>
    <w:p>
      <w:pPr>
        <w:spacing w:after="100"/>
      </w:pPr>
      <w:r>
        <w:t>Alcance de la tabla: «cambios atribuibles» se refiere a los commits de migración, no a los cambios visuales posteriores que también están en main.</w:t>
      </w:r>
    </w:p>
    <w:p>
      <w:pPr>
        <w:pStyle w:val="Heading1"/>
      </w:pPr>
      <w:r>
        <w:t>5. Qué se retiró, qué se añadió y qué se conservó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7155D9"/>
          </w:tcPr>
          <w:p>
            <w:r>
              <w:t>Se retiró</w:t>
            </w: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331"/>
            <w:vAlign w:val="center"/>
            <w:shd w:fill="7155D9"/>
          </w:tcPr>
          <w:p>
            <w:r>
              <w:t>Se añadió o sustituyó</w:t>
            </w: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331"/>
            <w:vAlign w:val="center"/>
            <w:shd w:fill="7155D9"/>
          </w:tcPr>
          <w:p>
            <w:r>
              <w:t>Se conservó</w:t>
            </w: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Karma, Jasmine, Chrome launcher y adaptadores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Vitest, jsdom, Angular unit-test builder, vitest globals y patch Zone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Casos funcionales, TestBed y HttpTestingController</w:t>
            </w:r>
          </w:p>
        </w:tc>
      </w:tr>
      <w:tr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@angular-devkit/build-angular en builders</w:t>
            </w:r>
          </w:p>
        </w:tc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@angular/build:application/dev-server/extract-i18n/unit-test</w:t>
            </w:r>
          </w:p>
        </w:tc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Targets build, serve y extract-i18n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@angular/animations, triggers y provideAnimations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animate.enter y clases/variables CSS; keyframes y media queries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Apariencia de entrada con respeto a movimiento reducido</w:t>
            </w:r>
          </w:p>
        </w:tc>
      </w:tr>
      <w:tr>
        <w:tc>
          <w:tcPr>
            <w:tcW w:type="dxa" w:w="3331"/>
            <w:vAlign w:val="center"/>
            <w:shd w:fill="F4F1FA"/>
          </w:tcPr>
          <w:p>
            <w:r>
              <w:t>Timers/hooks dedicados únicamente a animaciones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Retardos CSS por elemento</w:t>
            </w:r>
          </w:p>
        </w:tc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Temporizadores funcionales no relacionados con motion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Dependencias de Angular 21 y anteriores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Paquetes Angular 22, TypeScript 6 y zone.js 0.16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b w:val="0"/>
                <w:sz w:val="17"/>
              </w:rPr>
              <w:t>Standalone components, routing, servicios, formularios, Material y backend API</w:t>
            </w:r>
          </w:p>
        </w:tc>
      </w:tr>
      <w:tr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Tipos Jasmine en tsconfig.spec</w:t>
            </w:r>
          </w:p>
        </w:tc>
        <w:tc>
          <w:tcPr>
            <w:tcW w:type="dxa" w:w="3331"/>
            <w:vAlign w:val="center"/>
            <w:shd w:fill="F4F1FA"/>
          </w:tcPr>
          <w:p>
            <w:r/>
            <w:r>
              <w:rPr>
                <w:b w:val="0"/>
                <w:sz w:val="17"/>
              </w:rPr>
              <w:t>vitest/globals</w:t>
            </w:r>
          </w:p>
        </w:tc>
        <w:tc>
          <w:tcPr>
            <w:tcW w:type="dxa" w:w="3331"/>
            <w:vAlign w:val="center"/>
            <w:shd w:fill="F4F1FA"/>
          </w:tcPr>
          <w:p>
            <w:r>
              <w:t>TypeScript y chequeo del código</w:t>
            </w:r>
            <w:r>
              <w:rPr>
                <w:b w:val="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6. Verificación y operación</w:t>
      </w:r>
    </w:p>
    <w:p>
      <w:pPr>
        <w:spacing w:after="100"/>
      </w:pPr>
      <w:r>
        <w:t>La verificación registrada durante las etapas finales indicó 92 pruebas aprobadas y build de producción exitoso. El build mostró avisos de presupuesto de tamaño; un intento anterior también reportó que la descarga/inlining de Google Fonts requería acceso de red. Estas observaciones son avisos operativos, no evidencia por sí mismas de fallo de migración.</w:t>
      </w:r>
    </w:p>
    <w:p>
      <w:pPr>
        <w:spacing w:before="60" w:after="140"/>
        <w:ind w:left="259"/>
        <w:shd w:fill="F2EFF8"/>
      </w:pPr>
      <w:r>
        <w:rPr>
          <w:rFonts w:ascii="Cascadia Code" w:hAnsi="Cascadia Code"/>
          <w:color w:val="342B4B"/>
          <w:sz w:val="16"/>
        </w:rPr>
        <w:t>Desde Proyecto-FullStackfrontend:</w:t>
        <w:br/>
        <w:t>npm ci</w:t>
        <w:br/>
        <w:t>npm test</w:t>
        <w:br/>
        <w:t>npm run build</w:t>
      </w:r>
    </w:p>
    <w:p>
      <w:pPr>
        <w:spacing w:after="100"/>
      </w:pPr>
      <w:r>
        <w:t>Se recomienda volver a ejecutar estas comprobaciones en el entorno local actualizado, especialmente tras cambios posteriores de estilos. No se documenta aquí una nueva ejecución: el informe refleja el último resultado observado en la sesión de migración.</w:t>
      </w:r>
    </w:p>
    <w:p>
      <w:pPr>
        <w:pStyle w:val="Heading1"/>
      </w:pPr>
      <w:r>
        <w:t>7. Consideraciones pendientes</w:t>
      </w:r>
    </w:p>
    <w:p>
      <w:pPr>
        <w:pStyle w:val="ListBullet"/>
        <w:spacing w:after="40"/>
      </w:pPr>
      <w:r>
        <w:t>Revisar los avisos de presupuesto si crecen los bundles; ajustar el presupuesto solo después de medir el tamaño y revisar dependencias.</w:t>
      </w:r>
    </w:p>
    <w:p>
      <w:pPr>
        <w:pStyle w:val="ListBullet"/>
        <w:spacing w:after="40"/>
      </w:pPr>
      <w:r>
        <w:t>Mantener Vitest como runner único y evitar reintroducir configuraciones Jasmine/Karma en nuevas pruebas.</w:t>
      </w:r>
    </w:p>
    <w:p>
      <w:pPr>
        <w:pStyle w:val="ListBullet"/>
        <w:spacing w:after="40"/>
      </w:pPr>
      <w:r>
        <w:t>Cuando se agreguen animaciones, preferir CSS/animate.enter/animate.leave y comprobar prefers-reduced-motion; no volver a añadir provideAnimations sin una necesidad concreta.</w:t>
      </w:r>
    </w:p>
    <w:p>
      <w:pPr>
        <w:pStyle w:val="ListBullet"/>
        <w:spacing w:after="40"/>
      </w:pPr>
      <w:r>
        <w:t>Los dos diagnósticos extendidos están suprimidos por configuración. Si se corrigen las expresiones/tipos que los originaron, puede retirarse la supresión y revalidar el compilador.</w:t>
      </w:r>
    </w:p>
    <w:p>
      <w:pPr>
        <w:pStyle w:val="ListBullet"/>
        <w:spacing w:after="40"/>
      </w:pPr>
      <w:r>
        <w:t>Las versiones exactas se fijan mediante package-lock.json; package.json usa rangos compatibles dentro de las versiones mayores declaradas.</w:t>
      </w:r>
    </w:p>
    <w:p>
      <w:pPr>
        <w:pStyle w:val="Heading1"/>
      </w:pPr>
      <w:r>
        <w:t>8. Referencias del repositorio</w:t>
      </w:r>
    </w:p>
    <w:p>
      <w:pPr>
        <w:pStyle w:val="ListBullet"/>
        <w:spacing w:after="40"/>
      </w:pPr>
      <w:r>
        <w:t>Proyecto-FullStackfrontend/package.json y package-lock.json</w:t>
      </w:r>
    </w:p>
    <w:p>
      <w:pPr>
        <w:pStyle w:val="ListBullet"/>
        <w:spacing w:after="40"/>
      </w:pPr>
      <w:r>
        <w:t>Proyecto-FullStackfrontend/angular.json</w:t>
      </w:r>
    </w:p>
    <w:p>
      <w:pPr>
        <w:pStyle w:val="ListBullet"/>
        <w:spacing w:after="40"/>
      </w:pPr>
      <w:r>
        <w:t>Proyecto-FullStackfrontend/tsconfig.app.json y tsconfig.spec.json</w:t>
      </w:r>
    </w:p>
    <w:p>
      <w:pPr>
        <w:pStyle w:val="ListBullet"/>
        <w:spacing w:after="40"/>
      </w:pPr>
      <w:r>
        <w:t>Proyecto-FullStackfrontend/src/app/app.config.ts</w:t>
      </w:r>
    </w:p>
    <w:p>
      <w:pPr>
        <w:pStyle w:val="ListBullet"/>
        <w:spacing w:after="40"/>
      </w:pPr>
      <w:r>
        <w:t>Proyecto-FullStackfrontend/src/app/components/**</w:t>
      </w:r>
    </w:p>
    <w:p>
      <w:pPr>
        <w:pStyle w:val="ListBullet"/>
        <w:spacing w:after="40"/>
      </w:pPr>
      <w:r>
        <w:t>Commits c96134f, 7bb32c0 y d55aaea; commits de progresión Angular 18 → 19 → 20 → 21 → 22</w:t>
      </w:r>
    </w:p>
    <w:p>
      <w:pPr>
        <w:spacing w:after="100"/>
      </w:pPr>
      <w:r>
        <w:t>Documento generado para complementar Guia_Funcionamiento_Angular.docx: esa guía explica el funcionamiento general de Angular en el proyecto; este informe se concentra en la historia, decisiones técnicas y alcance de la migración.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Detalle t?cnico de migraci?n Angular 22  ?  Proyecto-FullStackfrontend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7155D9"/>
      </w:rPr>
      <w:t>PORTALSYSTEM  |  MIGRACI?N FRONTEND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2A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155D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3A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155D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A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