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45" w:sz="0" w:val="none"/>
        </w:pBdr>
        <w:shd w:fill="ffffff" w:val="clear"/>
        <w:spacing w:after="160" w:before="0" w:line="264" w:lineRule="auto"/>
        <w:rPr>
          <w:color w:val="333333"/>
          <w:sz w:val="48"/>
          <w:szCs w:val="48"/>
        </w:rPr>
      </w:pPr>
      <w:bookmarkStart w:colFirst="0" w:colLast="0" w:name="_gkpgtmvps9v5" w:id="0"/>
      <w:bookmarkEnd w:id="0"/>
      <w:r w:rsidDel="00000000" w:rsidR="00000000" w:rsidRPr="00000000">
        <w:rPr>
          <w:color w:val="333333"/>
          <w:sz w:val="48"/>
          <w:szCs w:val="48"/>
          <w:rtl w:val="0"/>
        </w:rPr>
        <w:t xml:space="preserve">RAW-DATA 1 - COVID 19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45" w:sz="0" w:val="none"/>
        </w:pBdr>
        <w:shd w:fill="ffffff" w:val="clear"/>
        <w:spacing w:after="160" w:before="0" w:line="264" w:lineRule="auto"/>
        <w:rPr>
          <w:color w:val="333333"/>
          <w:sz w:val="48"/>
          <w:szCs w:val="48"/>
        </w:rPr>
      </w:pPr>
      <w:bookmarkStart w:colFirst="0" w:colLast="0" w:name="_xvnu80a06tcr" w:id="1"/>
      <w:bookmarkEnd w:id="1"/>
      <w:r w:rsidDel="00000000" w:rsidR="00000000" w:rsidRPr="00000000">
        <w:rPr>
          <w:color w:val="333333"/>
          <w:sz w:val="48"/>
          <w:szCs w:val="48"/>
          <w:rtl w:val="0"/>
        </w:rPr>
        <w:t xml:space="preserve">Identifiers</w:t>
      </w:r>
    </w:p>
    <w:tbl>
      <w:tblPr>
        <w:tblStyle w:val="Table1"/>
        <w:tblW w:w="303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980"/>
        <w:tblGridChange w:id="0">
          <w:tblGrid>
            <w:gridCol w:w="1050"/>
            <w:gridCol w:w="19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Unique identifier.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Observation date.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keepNext w:val="0"/>
        <w:keepLines w:val="0"/>
        <w:pBdr>
          <w:top w:color="auto" w:space="45" w:sz="0" w:val="none"/>
        </w:pBdr>
        <w:shd w:fill="ffffff" w:val="clear"/>
        <w:spacing w:after="160" w:before="0" w:line="264" w:lineRule="auto"/>
        <w:ind w:left="-440" w:firstLine="0"/>
        <w:rPr>
          <w:color w:val="333333"/>
          <w:sz w:val="48"/>
          <w:szCs w:val="48"/>
        </w:rPr>
      </w:pPr>
      <w:bookmarkStart w:colFirst="0" w:colLast="0" w:name="_xskrak4m6gl" w:id="2"/>
      <w:bookmarkEnd w:id="2"/>
      <w:r w:rsidDel="00000000" w:rsidR="00000000" w:rsidRPr="00000000">
        <w:rPr>
          <w:color w:val="333333"/>
          <w:sz w:val="48"/>
          <w:szCs w:val="48"/>
          <w:rtl w:val="0"/>
        </w:rPr>
        <w:t xml:space="preserve">COVID-19 variables</w:t>
      </w:r>
    </w:p>
    <w:tbl>
      <w:tblPr>
        <w:tblStyle w:val="Table2"/>
        <w:tblW w:w="888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gridCol w:w="4935"/>
        <w:tblGridChange w:id="0">
          <w:tblGrid>
            <w:gridCol w:w="3945"/>
            <w:gridCol w:w="49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deaths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Cumulative number of deaths.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confirmed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Cumulative number of confirmed cases.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Cumulative number of tests.</w:t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vaccines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Cumulative number of doses administered. This is counted as a single dose, and may not equal the total number of people vaccinated, depending on the specific dose regime (e.g. people receive multiple doses). If a person receives one dose of the vaccine, this metric goes up by 1. If they receive a second dose, it goes up by 1 again.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recovered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Cumulative number of patients released from hospitals or reported recovered.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hosp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Number of hospitalized patients on date.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icu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Number of hospitalized patients in ICUs on date.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Number of patients requiring invasive ventilation on date.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population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Total population.</w:t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45" w:sz="0" w:val="none"/>
        </w:pBdr>
        <w:shd w:fill="ffffff" w:val="clear"/>
        <w:spacing w:after="160" w:before="0" w:line="264" w:lineRule="auto"/>
        <w:ind w:left="-440" w:firstLine="0"/>
        <w:rPr>
          <w:color w:val="333333"/>
          <w:sz w:val="48"/>
          <w:szCs w:val="48"/>
        </w:rPr>
      </w:pPr>
      <w:bookmarkStart w:colFirst="0" w:colLast="0" w:name="_vea9dint9cwd" w:id="3"/>
      <w:bookmarkEnd w:id="3"/>
      <w:r w:rsidDel="00000000" w:rsidR="00000000" w:rsidRPr="00000000">
        <w:rPr>
          <w:color w:val="333333"/>
          <w:sz w:val="48"/>
          <w:szCs w:val="48"/>
          <w:rtl w:val="0"/>
        </w:rPr>
        <w:t xml:space="preserve">Policy measures</w:t>
      </w:r>
    </w:p>
    <w:tbl>
      <w:tblPr>
        <w:tblStyle w:val="Table3"/>
        <w:tblW w:w="888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60"/>
        <w:gridCol w:w="4620"/>
        <w:tblGridChange w:id="0">
          <w:tblGrid>
            <w:gridCol w:w="4260"/>
            <w:gridCol w:w="46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school_closing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0: No measures - 1: Recommend closing - 2: Require closing (only some levels or categories, eg just high school, or just public schools - 3: Require closing all levels. </w:t>
            </w:r>
            <w:hyperlink r:id="rId6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workplace_closing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0: No measures - 1: Recommend closing (or work from home) - 2: require closing for some sectors or categories of workers - 3: require closing (or work from home) all-but-essential workplaces (eg grocery stores, doctors). </w:t>
            </w:r>
            <w:hyperlink r:id="rId7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cancel_events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0: No measures - 1: Recommend cancelling - 2: Require cancelling. </w:t>
            </w:r>
            <w:hyperlink r:id="rId8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gatherings_restrictions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0: No restrictions - 1: Restrictions on very large gatherings (the limit is above 1000 people) - 2: Restrictions on gatherings between 100-1000 people - 3: Restrictions on gatherings between 10-100 people - 4: Restrictions on gatherings of less than 10 people. </w:t>
            </w:r>
            <w:hyperlink r:id="rId9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transport_closing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0: No measures - 1: Recommend closing (or significantly reduce volume/route/means of transport available) - 2: Require closing (or prohibit most citizens from using it). </w:t>
            </w:r>
            <w:hyperlink r:id="rId10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stay_home_restrictions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0: No measures - 1: recommend not leaving house - 2: require not leaving house with exceptions for daily exercise, grocery shopping, and “essential” trips - 3: Require not leaving house with minimal exceptions (e.g. allowed to leave only once every few days, or only one person can leave at a time, etc.). </w:t>
            </w:r>
            <w:hyperlink r:id="rId11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internal_movement_restrictions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0: No measures - 1: Recommend closing (or significantly reduce volume/route/means of transport) - 2: Require closing (or prohibit most people from using it). </w:t>
            </w:r>
            <w:hyperlink r:id="rId12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international_movement_restrictions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0: No measures - 1: Screening - 2: Quarantine arrivals from high-risk regions - 3: Ban on high-risk regions - 4: Total border closure. </w:t>
            </w:r>
            <w:hyperlink r:id="rId13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information_campaigns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0: No COVID-19 public information campaign - 1: public officials urging caution about COVID-19 - 2: coordinated public information campaign (e.g. across traditional and social media). </w:t>
            </w:r>
            <w:hyperlink r:id="rId14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testing_policy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0: No testing policy - 1: Only those who both (a) have symptoms AND (b) meet specific criteria (eg key workers, admitted to hospital, came into contact with a known case, returned from overseas) - 2: testing of anyone showing COVID-19 symptoms - 3: open public testing (eg “drive through” testing available to asymptomatic people). </w:t>
            </w:r>
            <w:hyperlink r:id="rId15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contact_tracing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0: No contact tracing - 1: Limited contact tracing, not done for all cases - 2: Comprehensive contact tracing, done for all cases. </w:t>
            </w:r>
            <w:hyperlink r:id="rId16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stringency_index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Stringency of governmental responses. </w:t>
            </w:r>
            <w:hyperlink r:id="rId17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More 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45" w:sz="0" w:val="none"/>
        </w:pBdr>
        <w:shd w:fill="ffffff" w:val="clear"/>
        <w:spacing w:after="160" w:before="0" w:line="264" w:lineRule="auto"/>
        <w:ind w:left="-440" w:firstLine="0"/>
        <w:rPr>
          <w:color w:val="333333"/>
          <w:sz w:val="48"/>
          <w:szCs w:val="48"/>
        </w:rPr>
      </w:pPr>
      <w:bookmarkStart w:colFirst="0" w:colLast="0" w:name="_gwn6ib4q2etu" w:id="4"/>
      <w:bookmarkEnd w:id="4"/>
      <w:r w:rsidDel="00000000" w:rsidR="00000000" w:rsidRPr="00000000">
        <w:rPr>
          <w:color w:val="333333"/>
          <w:sz w:val="48"/>
          <w:szCs w:val="48"/>
          <w:rtl w:val="0"/>
        </w:rPr>
        <w:t xml:space="preserve">Geographic information</w:t>
      </w:r>
    </w:p>
    <w:tbl>
      <w:tblPr>
        <w:tblStyle w:val="Table4"/>
        <w:tblW w:w="888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gridCol w:w="4935"/>
        <w:tblGridChange w:id="0">
          <w:tblGrid>
            <w:gridCol w:w="3945"/>
            <w:gridCol w:w="49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latitude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Latitude.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longitude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Longitude.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administrative_area_level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Administrative area level.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administrative_area_level_1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Administrative area of top level.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administrative_area_level_2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Administrative area of a lower level, usually states, regions or cantons.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administrative_area_level_3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Administrative are of a lower level, usually cities or municipalities.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keepNext w:val="0"/>
        <w:keepLines w:val="0"/>
        <w:pBdr>
          <w:top w:color="auto" w:space="45" w:sz="0" w:val="none"/>
        </w:pBdr>
        <w:shd w:fill="ffffff" w:val="clear"/>
        <w:spacing w:after="160" w:before="0" w:line="264" w:lineRule="auto"/>
        <w:ind w:left="-440" w:firstLine="0"/>
        <w:rPr>
          <w:color w:val="333333"/>
          <w:sz w:val="48"/>
          <w:szCs w:val="48"/>
        </w:rPr>
      </w:pPr>
      <w:bookmarkStart w:colFirst="0" w:colLast="0" w:name="_93zy55jlzs09" w:id="5"/>
      <w:bookmarkEnd w:id="5"/>
      <w:r w:rsidDel="00000000" w:rsidR="00000000" w:rsidRPr="00000000">
        <w:rPr>
          <w:color w:val="333333"/>
          <w:sz w:val="48"/>
          <w:szCs w:val="48"/>
          <w:rtl w:val="0"/>
        </w:rPr>
        <w:t xml:space="preserve">External Keys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The following keys allow to extend the dataset with external data.</w:t>
      </w:r>
    </w:p>
    <w:tbl>
      <w:tblPr>
        <w:tblStyle w:val="Table5"/>
        <w:tblW w:w="832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5850"/>
        <w:tblGridChange w:id="0">
          <w:tblGrid>
            <w:gridCol w:w="2475"/>
            <w:gridCol w:w="585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ddddd" w:space="0" w:sz="12" w:val="single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333333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Identifier used in governmental data.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key_alpha_2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Two-letter code used in governmental data.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key_numeric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Numeric code used in governmental data.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key_google_mobility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Identifier used in </w:t>
            </w:r>
            <w:hyperlink r:id="rId18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Google Mobility Reports</w:t>
              </w:r>
            </w:hyperlink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key_apple_mobility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Identifier used in </w:t>
            </w:r>
            <w:hyperlink r:id="rId19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Apple Mobility Reports</w:t>
              </w:r>
            </w:hyperlink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key_jhu_csse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320" w:line="342.8568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Identifier used in the </w:t>
            </w:r>
            <w:hyperlink r:id="rId20">
              <w:r w:rsidDel="00000000" w:rsidR="00000000" w:rsidRPr="00000000">
                <w:rPr>
                  <w:color w:val="2780e3"/>
                  <w:sz w:val="23"/>
                  <w:szCs w:val="23"/>
                  <w:u w:val="single"/>
                  <w:rtl w:val="0"/>
                </w:rPr>
                <w:t xml:space="preserve">JHU CSSE Unified COVID-19 Dataset</w:t>
              </w:r>
            </w:hyperlink>
            <w:r w:rsidDel="00000000" w:rsidR="00000000" w:rsidRPr="00000000">
              <w:rPr>
                <w:color w:val="333333"/>
                <w:sz w:val="23"/>
                <w:szCs w:val="23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SSEGISandData/COVID-19_Unified-Dataset" TargetMode="External"/><Relationship Id="rId11" Type="http://schemas.openxmlformats.org/officeDocument/2006/relationships/hyperlink" Target="https://www.bsg.ox.ac.uk/sites/default/files/2020-04/BSG-WP-2020-032-v5.0.pdf" TargetMode="External"/><Relationship Id="rId10" Type="http://schemas.openxmlformats.org/officeDocument/2006/relationships/hyperlink" Target="https://www.bsg.ox.ac.uk/sites/default/files/2020-04/BSG-WP-2020-032-v5.0.pdf" TargetMode="External"/><Relationship Id="rId13" Type="http://schemas.openxmlformats.org/officeDocument/2006/relationships/hyperlink" Target="https://www.bsg.ox.ac.uk/sites/default/files/2020-04/BSG-WP-2020-032-v5.0.pdf" TargetMode="External"/><Relationship Id="rId12" Type="http://schemas.openxmlformats.org/officeDocument/2006/relationships/hyperlink" Target="https://www.bsg.ox.ac.uk/sites/default/files/2020-04/BSG-WP-2020-032-v5.0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sg.ox.ac.uk/sites/default/files/2020-04/BSG-WP-2020-032-v5.0.pdf" TargetMode="External"/><Relationship Id="rId15" Type="http://schemas.openxmlformats.org/officeDocument/2006/relationships/hyperlink" Target="https://www.bsg.ox.ac.uk/sites/default/files/2020-04/BSG-WP-2020-032-v5.0.pdf" TargetMode="External"/><Relationship Id="rId14" Type="http://schemas.openxmlformats.org/officeDocument/2006/relationships/hyperlink" Target="https://www.bsg.ox.ac.uk/sites/default/files/2020-04/BSG-WP-2020-032-v5.0.pdf" TargetMode="External"/><Relationship Id="rId17" Type="http://schemas.openxmlformats.org/officeDocument/2006/relationships/hyperlink" Target="https://www.bsg.ox.ac.uk/sites/default/files/2020-04/BSG-WP-2020-032-v5.0.pdf" TargetMode="External"/><Relationship Id="rId16" Type="http://schemas.openxmlformats.org/officeDocument/2006/relationships/hyperlink" Target="https://www.bsg.ox.ac.uk/sites/default/files/2020-04/BSG-WP-2020-032-v5.0.pdf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pple.com/covid19/mobility" TargetMode="External"/><Relationship Id="rId6" Type="http://schemas.openxmlformats.org/officeDocument/2006/relationships/hyperlink" Target="https://www.bsg.ox.ac.uk/sites/default/files/2020-04/BSG-WP-2020-032-v5.0.pdf" TargetMode="External"/><Relationship Id="rId18" Type="http://schemas.openxmlformats.org/officeDocument/2006/relationships/hyperlink" Target="https://www.google.com/covid19/mobility/" TargetMode="External"/><Relationship Id="rId7" Type="http://schemas.openxmlformats.org/officeDocument/2006/relationships/hyperlink" Target="https://www.bsg.ox.ac.uk/sites/default/files/2020-04/BSG-WP-2020-032-v5.0.pdf" TargetMode="External"/><Relationship Id="rId8" Type="http://schemas.openxmlformats.org/officeDocument/2006/relationships/hyperlink" Target="https://www.bsg.ox.ac.uk/sites/default/files/2020-04/BSG-WP-2020-032-v5.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