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Operacionalización e indicadores - Grupo 4</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gridCol w:w="3240"/>
        <w:tblGridChange w:id="0">
          <w:tblGrid>
            <w:gridCol w:w="3240"/>
            <w:gridCol w:w="3240"/>
            <w:gridCol w:w="3240"/>
            <w:gridCol w:w="324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Definición conceptual</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Definición real</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(dimensiones)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Definición operacional</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(indicadores)</w:t>
            </w:r>
          </w:p>
        </w:tc>
      </w:tr>
      <w:tr>
        <w:trPr>
          <w:trHeight w:val="44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Proyecciones de vida</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highlight w:val="white"/>
                <w:rtl w:val="0"/>
              </w:rPr>
              <w:t xml:space="preserve">Un </w:t>
            </w:r>
            <w:r w:rsidDel="00000000" w:rsidR="00000000" w:rsidRPr="00000000">
              <w:rPr>
                <w:rFonts w:ascii="Times New Roman" w:cs="Times New Roman" w:eastAsia="Times New Roman" w:hAnsi="Times New Roman"/>
                <w:i w:val="1"/>
                <w:highlight w:val="white"/>
                <w:rtl w:val="0"/>
              </w:rPr>
              <w:t xml:space="preserve">proyecto</w:t>
            </w:r>
            <w:r w:rsidDel="00000000" w:rsidR="00000000" w:rsidRPr="00000000">
              <w:rPr>
                <w:rFonts w:ascii="Times New Roman" w:cs="Times New Roman" w:eastAsia="Times New Roman" w:hAnsi="Times New Roman"/>
                <w:highlight w:val="white"/>
                <w:rtl w:val="0"/>
              </w:rPr>
              <w:t xml:space="preserve"> abarca un conjunto de actividades coordinadas que apuntan al cumplimiento de un objetivo: una direccionalidad. Así, un “proyecto de vida” es la dirección que una persona elabora para su propia existencia. En base a preferencias, restricciones y oportunidades que le imponen tanto su posición objetiva como la traducción de estas en un habitus específico, la persona imagina acciones futuras con el objetivo de alcanzar lo que ella misma perciba o defina como sus metas” (Atria, Carrasco, Fernández &amp; Puga, 2017, p. 125).</w:t>
            </w: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Dimensión educativa.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a la educación de calidad.</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Aspiraciones de nivel educativo.</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Dimensión familiar y sexo-afectiva.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Proyecto familiar (emancipación del hogar, pareja).</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Identidad y vida sexual.</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Dimensión laboral.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Sueldo.</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Relación entre trabajo y remuneración.</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Realización personal.</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Dimensión tiempo libre y consumo.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Modos/estilos de vida.</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 libre.</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Dimensión salud.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a salud de calidad..</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Proyección de vida saludable (física y mental).</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Dimensión género.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Mayor equidad de oportunidades.</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Erradicación de violencia de género.</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Dimensión inclusión.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Oportunidades para personas en situación de discapacidad.</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Actitudes hacia personas en situación de discapacidad.</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Oportunidades para personas inmigrantes.</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Actitudes hacia personas inmigrantes.</w:t>
            </w:r>
          </w:p>
        </w:tc>
      </w:tr>
      <w:tr>
        <w:trPr>
          <w:trHeight w:val="6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Dimensión residencial y migratoria.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a viviendas de calidad.</w:t>
            </w:r>
          </w:p>
        </w:tc>
      </w:tr>
      <w:tr>
        <w:trPr>
          <w:trHeight w:val="6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Capacidad de movilidad territorial.</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Estatus social subjetivo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Davis (citado en Castillo, Madero y Miranda, 2013 ) propone que “El estatus social subjetivo puede entenderse en términos concretos como la creencia de una persona acerca de su ubicación en un orden de estatus”.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Autopercepción sobre el estatus.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Escala de Mac Arthur.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 política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La identidad o identificación política se define como el sentimiento que tiene una persona de pertenecer a un grupo, cuando esta identificación influye en su comportamiento político. La identificación es, entonces, un proceso por medio del cual una persona percibe que comparte características comunes con otra y, por lo tanto, adopta sus ideas, valores o conductas; puede ser consciente o inconsciente, y a veces la identificación con personas o grupos que se idealizan es producto de un mecanismo de compensación de las propias debilidades.” (Aguilar, 2008, p. 19)</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rtl w:val="0"/>
              </w:rPr>
              <w:t xml:space="preserve">piniones, conocimientos, creencias, expectativas y valores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Escala de Mac Arthur (un polo es izquierda y el otro derecha).</w:t>
            </w:r>
          </w:p>
        </w:tc>
      </w:tr>
    </w:tbl>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Referencias</w:t>
      </w:r>
    </w:p>
    <w:p w:rsidR="00000000" w:rsidDel="00000000" w:rsidP="00000000" w:rsidRDefault="00000000" w:rsidRPr="00000000" w14:paraId="00000062">
      <w:pPr>
        <w:ind w:left="720.0000000000001" w:hanging="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Aguilar, J. (2008). Identificación partidaria: apuntes teóricos para su estudio. </w:t>
      </w:r>
      <w:r w:rsidDel="00000000" w:rsidR="00000000" w:rsidRPr="00000000">
        <w:rPr>
          <w:rFonts w:ascii="Times New Roman" w:cs="Times New Roman" w:eastAsia="Times New Roman" w:hAnsi="Times New Roman"/>
          <w:i w:val="1"/>
          <w:rtl w:val="0"/>
        </w:rPr>
        <w:t xml:space="preserve">Polis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4</w:t>
      </w:r>
      <w:r w:rsidDel="00000000" w:rsidR="00000000" w:rsidRPr="00000000">
        <w:rPr>
          <w:rFonts w:ascii="Times New Roman" w:cs="Times New Roman" w:eastAsia="Times New Roman" w:hAnsi="Times New Roman"/>
          <w:rtl w:val="0"/>
        </w:rPr>
        <w:t xml:space="preserve">(2), 15-46. Recuperado en 13 de diciembre de 2019, de </w:t>
      </w:r>
      <w:hyperlink r:id="rId6">
        <w:r w:rsidDel="00000000" w:rsidR="00000000" w:rsidRPr="00000000">
          <w:rPr>
            <w:rFonts w:ascii="Times New Roman" w:cs="Times New Roman" w:eastAsia="Times New Roman" w:hAnsi="Times New Roman"/>
            <w:color w:val="1155cc"/>
            <w:u w:val="single"/>
            <w:rtl w:val="0"/>
          </w:rPr>
          <w:t xml:space="preserve">http://www.scielo.org.mx/scielo.php?script=sci_arttext&amp;pid=S1870-23332008000200002&amp;lng=es&amp;tlng=es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spacing w:after="200" w:lineRule="auto"/>
        <w:ind w:left="720.0000000000001" w:hanging="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Castillo, J. C., Miranda, D., &amp; Cabib, I. M. (2013). Todos somos de clase media: Sobre el estatus social subjetivo en Chile. </w:t>
      </w:r>
      <w:r w:rsidDel="00000000" w:rsidR="00000000" w:rsidRPr="00000000">
        <w:rPr>
          <w:rFonts w:ascii="Times New Roman" w:cs="Times New Roman" w:eastAsia="Times New Roman" w:hAnsi="Times New Roman"/>
          <w:i w:val="1"/>
          <w:rtl w:val="0"/>
        </w:rPr>
        <w:t xml:space="preserve">Latin American Research Review</w:t>
      </w:r>
      <w:r w:rsidDel="00000000" w:rsidR="00000000" w:rsidRPr="00000000">
        <w:rPr>
          <w:rFonts w:ascii="Times New Roman" w:cs="Times New Roman" w:eastAsia="Times New Roman" w:hAnsi="Times New Roman"/>
          <w:rtl w:val="0"/>
        </w:rPr>
        <w:t xml:space="preserve">, 155-173.</w:t>
      </w:r>
    </w:p>
    <w:p w:rsidR="00000000" w:rsidDel="00000000" w:rsidP="00000000" w:rsidRDefault="00000000" w:rsidRPr="00000000" w14:paraId="00000065">
      <w:pPr>
        <w:ind w:left="720.0000000000001" w:hanging="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Puga, I., Atria, R., Fernández, R., &amp; Carrasco, C. (2017). Proyectos de vida y oportunidades en la educación media. Nuevas demandas sociales al sistema escolar chileno. </w:t>
      </w:r>
      <w:r w:rsidDel="00000000" w:rsidR="00000000" w:rsidRPr="00000000">
        <w:rPr>
          <w:rFonts w:ascii="Times New Roman" w:cs="Times New Roman" w:eastAsia="Times New Roman" w:hAnsi="Times New Roman"/>
          <w:i w:val="1"/>
          <w:rtl w:val="0"/>
        </w:rPr>
        <w:t xml:space="preserve">Última década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25</w:t>
      </w:r>
      <w:r w:rsidDel="00000000" w:rsidR="00000000" w:rsidRPr="00000000">
        <w:rPr>
          <w:rFonts w:ascii="Times New Roman" w:cs="Times New Roman" w:eastAsia="Times New Roman" w:hAnsi="Times New Roman"/>
          <w:rtl w:val="0"/>
        </w:rPr>
        <w:t xml:space="preserve">(47), 118-153.</w:t>
      </w:r>
      <w:hyperlink r:id="rId7">
        <w:r w:rsidDel="00000000" w:rsidR="00000000" w:rsidRPr="00000000">
          <w:rPr>
            <w:rFonts w:ascii="Times New Roman" w:cs="Times New Roman" w:eastAsia="Times New Roman" w:hAnsi="Times New Roman"/>
            <w:rtl w:val="0"/>
          </w:rPr>
          <w:t xml:space="preserve"> </w:t>
        </w:r>
      </w:hyperlink>
      <w:hyperlink r:id="rId8">
        <w:r w:rsidDel="00000000" w:rsidR="00000000" w:rsidRPr="00000000">
          <w:rPr>
            <w:rFonts w:ascii="Times New Roman" w:cs="Times New Roman" w:eastAsia="Times New Roman" w:hAnsi="Times New Roman"/>
            <w:color w:val="1155cc"/>
            <w:u w:val="single"/>
            <w:rtl w:val="0"/>
          </w:rPr>
          <w:t xml:space="preserve">https://dx.doi.org/10.4067/S0718-22362017000200118</w:t>
        </w:r>
      </w:hyperlink>
      <w:r w:rsidDel="00000000" w:rsidR="00000000" w:rsidRPr="00000000">
        <w:rPr>
          <w:rtl w:val="0"/>
        </w:rPr>
      </w:r>
    </w:p>
    <w:sectPr>
      <w:pgSz w:h="12240" w:w="158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pPr>
    <w:rPr>
      <w:rFonts w:ascii="Arial" w:cs="Arial" w:eastAsia="Arial" w:hAnsi="Arial"/>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ind w:left="0" w:firstLine="0"/>
      <w:jc w:val="center"/>
    </w:pPr>
    <w:rPr>
      <w:rFonts w:ascii="Arial" w:cs="Arial" w:eastAsia="Arial" w:hAnsi="Arial"/>
      <w:b w:val="1"/>
    </w:rPr>
  </w:style>
  <w:style w:type="paragraph" w:styleId="Subtitle">
    <w:name w:val="Subtitle"/>
    <w:basedOn w:val="Normal"/>
    <w:next w:val="Normal"/>
    <w:pPr>
      <w:keepNext w:val="1"/>
      <w:keepLines w:val="1"/>
      <w:ind w:left="0" w:firstLine="0"/>
    </w:pPr>
    <w:rPr>
      <w:rFonts w:ascii="Arial" w:cs="Arial" w:eastAsia="Arial" w:hAnsi="Arial"/>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cielo.org.mx/scielo.php?script=sci_arttext&amp;pid=S1870-23332008000200002&amp;lng=es&amp;tlng=es" TargetMode="External"/><Relationship Id="rId7" Type="http://schemas.openxmlformats.org/officeDocument/2006/relationships/hyperlink" Target="https://dx.doi.org/10.4067/S0718-22362017000200118" TargetMode="External"/><Relationship Id="rId8" Type="http://schemas.openxmlformats.org/officeDocument/2006/relationships/hyperlink" Target="https://dx.doi.org/10.4067/S0718-223620170002001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