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6DC" w:rsidRPr="004868D2" w:rsidRDefault="004868D2" w:rsidP="004868D2">
      <w:pPr>
        <w:jc w:val="center"/>
        <w:rPr>
          <w:b/>
        </w:rPr>
      </w:pPr>
      <w:r w:rsidRPr="004868D2">
        <w:rPr>
          <w:b/>
        </w:rPr>
        <w:t>CONTROLES APLICADOS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2456"/>
        <w:gridCol w:w="1050"/>
        <w:gridCol w:w="2016"/>
      </w:tblGrid>
      <w:tr w:rsidR="004868D2" w:rsidRPr="00A62DE9" w:rsidTr="00AC0BC6">
        <w:tc>
          <w:tcPr>
            <w:tcW w:w="988" w:type="dxa"/>
            <w:shd w:val="clear" w:color="auto" w:fill="BDD6EE" w:themeFill="accent1" w:themeFillTint="66"/>
          </w:tcPr>
          <w:p w:rsidR="00800AAC" w:rsidRDefault="00800AAC" w:rsidP="004868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6B12" w:rsidRPr="00A62DE9" w:rsidRDefault="00597449" w:rsidP="004868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800AAC" w:rsidRDefault="00800AAC" w:rsidP="004868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6B12" w:rsidRPr="00A62DE9" w:rsidRDefault="004868D2" w:rsidP="004868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OBJETIVO DE CONTROL</w:t>
            </w:r>
          </w:p>
        </w:tc>
        <w:tc>
          <w:tcPr>
            <w:tcW w:w="2456" w:type="dxa"/>
            <w:shd w:val="clear" w:color="auto" w:fill="BDD6EE" w:themeFill="accent1" w:themeFillTint="66"/>
          </w:tcPr>
          <w:p w:rsidR="00800AAC" w:rsidRDefault="00800AAC" w:rsidP="004868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6B12" w:rsidRPr="00A62DE9" w:rsidRDefault="004868D2" w:rsidP="004868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CONTROL</w:t>
            </w:r>
          </w:p>
        </w:tc>
        <w:tc>
          <w:tcPr>
            <w:tcW w:w="1050" w:type="dxa"/>
            <w:shd w:val="clear" w:color="auto" w:fill="BDD6EE" w:themeFill="accent1" w:themeFillTint="66"/>
          </w:tcPr>
          <w:p w:rsidR="00800AAC" w:rsidRDefault="00800AAC" w:rsidP="004868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6B12" w:rsidRPr="00A62DE9" w:rsidRDefault="004868D2" w:rsidP="004868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ESTADO</w:t>
            </w:r>
          </w:p>
        </w:tc>
        <w:tc>
          <w:tcPr>
            <w:tcW w:w="2016" w:type="dxa"/>
            <w:shd w:val="clear" w:color="auto" w:fill="BDD6EE" w:themeFill="accent1" w:themeFillTint="66"/>
          </w:tcPr>
          <w:p w:rsidR="00800AAC" w:rsidRDefault="00800AAC" w:rsidP="004868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6B12" w:rsidRPr="00A62DE9" w:rsidRDefault="004868D2" w:rsidP="004868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JUSTIFICACIÓN</w:t>
            </w:r>
          </w:p>
        </w:tc>
      </w:tr>
      <w:tr w:rsidR="00666B12" w:rsidRPr="00A62DE9" w:rsidTr="00C13830">
        <w:tc>
          <w:tcPr>
            <w:tcW w:w="988" w:type="dxa"/>
            <w:shd w:val="clear" w:color="auto" w:fill="BDD6EE" w:themeFill="accent1" w:themeFillTint="66"/>
          </w:tcPr>
          <w:p w:rsidR="00A62DE9" w:rsidRDefault="00A62DE9">
            <w:pPr>
              <w:rPr>
                <w:rFonts w:ascii="Arial" w:hAnsi="Arial" w:cs="Arial"/>
                <w:sz w:val="20"/>
                <w:szCs w:val="20"/>
              </w:rPr>
            </w:pPr>
          </w:p>
          <w:p w:rsidR="00666B12" w:rsidRPr="00A62DE9" w:rsidRDefault="00666B12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</w:t>
            </w:r>
            <w:r w:rsidR="00AD3845" w:rsidRPr="00A62DE9">
              <w:rPr>
                <w:rFonts w:ascii="Arial" w:hAnsi="Arial" w:cs="Arial"/>
                <w:sz w:val="20"/>
                <w:szCs w:val="20"/>
              </w:rPr>
              <w:t>.</w:t>
            </w:r>
            <w:r w:rsidRPr="00A62DE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506" w:type="dxa"/>
            <w:gridSpan w:val="4"/>
            <w:shd w:val="clear" w:color="auto" w:fill="BDD6EE" w:themeFill="accent1" w:themeFillTint="66"/>
          </w:tcPr>
          <w:p w:rsidR="00A62DE9" w:rsidRDefault="00A62DE9" w:rsidP="00666B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6B12" w:rsidRPr="00A62DE9" w:rsidRDefault="00666B12" w:rsidP="00666B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POLÍTICAS DE SEGURIDAD.</w:t>
            </w:r>
          </w:p>
        </w:tc>
      </w:tr>
      <w:tr w:rsidR="00597449" w:rsidRPr="00A62DE9" w:rsidTr="00AC0BC6">
        <w:trPr>
          <w:trHeight w:val="850"/>
        </w:trPr>
        <w:tc>
          <w:tcPr>
            <w:tcW w:w="988" w:type="dxa"/>
            <w:vMerge w:val="restart"/>
          </w:tcPr>
          <w:p w:rsidR="00915624" w:rsidRDefault="00915624">
            <w:pPr>
              <w:rPr>
                <w:rFonts w:ascii="Arial" w:hAnsi="Arial" w:cs="Arial"/>
                <w:sz w:val="20"/>
                <w:szCs w:val="20"/>
              </w:rPr>
            </w:pPr>
          </w:p>
          <w:p w:rsidR="00BE1E5E" w:rsidRPr="00A62DE9" w:rsidRDefault="00BE1E5E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A.5.1</w:t>
            </w:r>
          </w:p>
        </w:tc>
        <w:tc>
          <w:tcPr>
            <w:tcW w:w="1984" w:type="dxa"/>
            <w:vMerge w:val="restart"/>
          </w:tcPr>
          <w:p w:rsidR="00915624" w:rsidRDefault="00915624">
            <w:pPr>
              <w:rPr>
                <w:rFonts w:ascii="Arial" w:hAnsi="Arial" w:cs="Arial"/>
                <w:sz w:val="20"/>
                <w:szCs w:val="20"/>
              </w:rPr>
            </w:pPr>
          </w:p>
          <w:p w:rsidR="00BE1E5E" w:rsidRPr="00A62DE9" w:rsidRDefault="00BE1E5E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Política de seguridad de la información</w:t>
            </w:r>
          </w:p>
        </w:tc>
        <w:tc>
          <w:tcPr>
            <w:tcW w:w="2456" w:type="dxa"/>
          </w:tcPr>
          <w:p w:rsidR="00915624" w:rsidRDefault="00915624" w:rsidP="00F34EC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1E5E" w:rsidRPr="00A62DE9" w:rsidRDefault="00BE1E5E" w:rsidP="00F34EC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5.1.1 Documento de Política de seguridad de la información</w:t>
            </w:r>
          </w:p>
        </w:tc>
        <w:tc>
          <w:tcPr>
            <w:tcW w:w="1050" w:type="dxa"/>
          </w:tcPr>
          <w:p w:rsidR="00915624" w:rsidRDefault="00915624">
            <w:pPr>
              <w:rPr>
                <w:rFonts w:ascii="Arial" w:hAnsi="Arial" w:cs="Arial"/>
                <w:sz w:val="20"/>
                <w:szCs w:val="20"/>
              </w:rPr>
            </w:pPr>
          </w:p>
          <w:p w:rsidR="00BE1E5E" w:rsidRPr="00A62DE9" w:rsidRDefault="00BE1E5E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Aplicada</w:t>
            </w:r>
          </w:p>
        </w:tc>
        <w:tc>
          <w:tcPr>
            <w:tcW w:w="2016" w:type="dxa"/>
          </w:tcPr>
          <w:p w:rsidR="00915624" w:rsidRDefault="00915624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E1E5E" w:rsidRDefault="004868D2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 w:rsidR="00A62DE9"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>SO 27001 apartado 3.2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7449" w:rsidRPr="00A62DE9" w:rsidTr="00AC0BC6">
        <w:tc>
          <w:tcPr>
            <w:tcW w:w="988" w:type="dxa"/>
            <w:vMerge/>
          </w:tcPr>
          <w:p w:rsidR="00BE1E5E" w:rsidRPr="00A62DE9" w:rsidRDefault="00BE1E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BE1E5E" w:rsidRPr="00A62DE9" w:rsidRDefault="00BE1E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915624" w:rsidRDefault="00915624" w:rsidP="00F34EC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1E5E" w:rsidRPr="00A62DE9" w:rsidRDefault="00BE1E5E" w:rsidP="00F34EC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5.1.2 Revisión de la Política de seguridad de la información.</w:t>
            </w:r>
          </w:p>
        </w:tc>
        <w:tc>
          <w:tcPr>
            <w:tcW w:w="1050" w:type="dxa"/>
          </w:tcPr>
          <w:p w:rsidR="00915624" w:rsidRDefault="00915624">
            <w:pPr>
              <w:rPr>
                <w:rFonts w:ascii="Arial" w:hAnsi="Arial" w:cs="Arial"/>
                <w:sz w:val="20"/>
                <w:szCs w:val="20"/>
              </w:rPr>
            </w:pPr>
          </w:p>
          <w:p w:rsidR="00BE1E5E" w:rsidRPr="00A62DE9" w:rsidRDefault="00BE1E5E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Aplicada</w:t>
            </w:r>
          </w:p>
        </w:tc>
        <w:tc>
          <w:tcPr>
            <w:tcW w:w="2016" w:type="dxa"/>
          </w:tcPr>
          <w:p w:rsidR="00915624" w:rsidRDefault="00915624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E1E5E" w:rsidRDefault="00BE1E5E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</w:t>
            </w:r>
            <w:r w:rsidR="004868D2" w:rsidRPr="00A62DE9">
              <w:rPr>
                <w:rFonts w:ascii="Arial" w:hAnsi="Arial" w:cs="Arial"/>
                <w:sz w:val="20"/>
                <w:szCs w:val="20"/>
              </w:rPr>
              <w:t xml:space="preserve">en la implementación de la Norma </w:t>
            </w:r>
            <w:r w:rsidR="00A62DE9">
              <w:rPr>
                <w:rFonts w:ascii="Arial" w:hAnsi="Arial" w:cs="Arial"/>
                <w:sz w:val="20"/>
                <w:szCs w:val="20"/>
              </w:rPr>
              <w:t>I</w:t>
            </w:r>
            <w:r w:rsidR="004868D2" w:rsidRPr="00A62DE9">
              <w:rPr>
                <w:rFonts w:ascii="Arial" w:hAnsi="Arial" w:cs="Arial"/>
                <w:sz w:val="20"/>
                <w:szCs w:val="20"/>
              </w:rPr>
              <w:t>SO 27001 apartado 3.2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4EC5" w:rsidRPr="00A62DE9" w:rsidTr="00C13830">
        <w:tc>
          <w:tcPr>
            <w:tcW w:w="988" w:type="dxa"/>
            <w:shd w:val="clear" w:color="auto" w:fill="BDD6EE" w:themeFill="accent1" w:themeFillTint="66"/>
          </w:tcPr>
          <w:p w:rsidR="00A62DE9" w:rsidRDefault="00A62DE9">
            <w:pPr>
              <w:rPr>
                <w:rFonts w:ascii="Arial" w:hAnsi="Arial" w:cs="Arial"/>
                <w:sz w:val="20"/>
                <w:szCs w:val="20"/>
              </w:rPr>
            </w:pPr>
          </w:p>
          <w:p w:rsidR="00F34EC5" w:rsidRPr="00A62DE9" w:rsidRDefault="00F34EC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</w:t>
            </w:r>
            <w:r w:rsidR="00AD3845" w:rsidRPr="00A62DE9">
              <w:rPr>
                <w:rFonts w:ascii="Arial" w:hAnsi="Arial" w:cs="Arial"/>
                <w:sz w:val="20"/>
                <w:szCs w:val="20"/>
              </w:rPr>
              <w:t>.</w:t>
            </w:r>
            <w:r w:rsidRPr="00A62DE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506" w:type="dxa"/>
            <w:gridSpan w:val="4"/>
            <w:shd w:val="clear" w:color="auto" w:fill="BDD6EE" w:themeFill="accent1" w:themeFillTint="66"/>
          </w:tcPr>
          <w:p w:rsidR="00A62DE9" w:rsidRDefault="00A62DE9" w:rsidP="00F34EC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4EC5" w:rsidRPr="00A62DE9" w:rsidRDefault="00F34EC5" w:rsidP="00F34EC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ORGANIZACIÓN DE LA SEGURIDAD DE LA INFORMACIÓN</w:t>
            </w:r>
          </w:p>
        </w:tc>
      </w:tr>
      <w:tr w:rsidR="00597449" w:rsidRPr="00A62DE9" w:rsidTr="00AC0BC6">
        <w:tc>
          <w:tcPr>
            <w:tcW w:w="988" w:type="dxa"/>
            <w:vMerge w:val="restart"/>
          </w:tcPr>
          <w:p w:rsidR="00915624" w:rsidRDefault="00915624">
            <w:pPr>
              <w:rPr>
                <w:rFonts w:ascii="Arial" w:hAnsi="Arial" w:cs="Arial"/>
                <w:sz w:val="20"/>
                <w:szCs w:val="20"/>
              </w:rPr>
            </w:pPr>
          </w:p>
          <w:p w:rsidR="00BE1E5E" w:rsidRPr="00A62DE9" w:rsidRDefault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A.6.1</w:t>
            </w:r>
          </w:p>
        </w:tc>
        <w:tc>
          <w:tcPr>
            <w:tcW w:w="1984" w:type="dxa"/>
            <w:vMerge w:val="restart"/>
          </w:tcPr>
          <w:p w:rsidR="00915624" w:rsidRDefault="00915624">
            <w:pPr>
              <w:rPr>
                <w:rFonts w:ascii="Arial" w:hAnsi="Arial" w:cs="Arial"/>
                <w:sz w:val="20"/>
                <w:szCs w:val="20"/>
              </w:rPr>
            </w:pPr>
          </w:p>
          <w:p w:rsidR="00BE1E5E" w:rsidRPr="00A62DE9" w:rsidRDefault="00BE1E5E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Organización Interna</w:t>
            </w:r>
          </w:p>
        </w:tc>
        <w:tc>
          <w:tcPr>
            <w:tcW w:w="2456" w:type="dxa"/>
          </w:tcPr>
          <w:p w:rsidR="00915624" w:rsidRDefault="00915624" w:rsidP="00F34EC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1E5E" w:rsidRPr="00A62DE9" w:rsidRDefault="00BE1E5E" w:rsidP="00F34EC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6.1.1 Compromiso de la Dirección con la Seguridad</w:t>
            </w:r>
          </w:p>
        </w:tc>
        <w:tc>
          <w:tcPr>
            <w:tcW w:w="1050" w:type="dxa"/>
          </w:tcPr>
          <w:p w:rsidR="00915624" w:rsidRDefault="00915624">
            <w:pPr>
              <w:rPr>
                <w:rFonts w:ascii="Arial" w:hAnsi="Arial" w:cs="Arial"/>
                <w:sz w:val="20"/>
                <w:szCs w:val="20"/>
              </w:rPr>
            </w:pPr>
          </w:p>
          <w:p w:rsidR="00BE1E5E" w:rsidRPr="00A62DE9" w:rsidRDefault="00BE1E5E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Aplicada</w:t>
            </w:r>
          </w:p>
        </w:tc>
        <w:tc>
          <w:tcPr>
            <w:tcW w:w="2016" w:type="dxa"/>
          </w:tcPr>
          <w:p w:rsidR="00915624" w:rsidRDefault="00915624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E1E5E" w:rsidRDefault="004868D2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 w:rsidR="00A62DE9"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>SO 27001 apartado 3.</w:t>
            </w:r>
            <w:r w:rsidR="00A231F0" w:rsidRPr="00A62DE9">
              <w:rPr>
                <w:rFonts w:ascii="Arial" w:hAnsi="Arial" w:cs="Arial"/>
                <w:sz w:val="20"/>
                <w:szCs w:val="20"/>
              </w:rPr>
              <w:t>1.</w:t>
            </w:r>
            <w:r w:rsidRPr="00A62DE9">
              <w:rPr>
                <w:rFonts w:ascii="Arial" w:hAnsi="Arial" w:cs="Arial"/>
                <w:sz w:val="20"/>
                <w:szCs w:val="20"/>
              </w:rPr>
              <w:t>2</w:t>
            </w:r>
            <w:r w:rsidR="00800AA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7449" w:rsidRPr="00A62DE9" w:rsidTr="00AC0BC6">
        <w:tc>
          <w:tcPr>
            <w:tcW w:w="988" w:type="dxa"/>
            <w:vMerge/>
          </w:tcPr>
          <w:p w:rsidR="00BE1E5E" w:rsidRPr="00A62DE9" w:rsidRDefault="00BE1E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BE1E5E" w:rsidRPr="00A62DE9" w:rsidRDefault="00BE1E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915624" w:rsidRDefault="00915624" w:rsidP="00F34EC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1E5E" w:rsidRPr="00A62DE9" w:rsidRDefault="00BE1E5E" w:rsidP="00F34EC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6.1.2 Coordinación de la Seguridad de la Información.</w:t>
            </w:r>
          </w:p>
        </w:tc>
        <w:tc>
          <w:tcPr>
            <w:tcW w:w="1050" w:type="dxa"/>
          </w:tcPr>
          <w:p w:rsidR="00915624" w:rsidRDefault="00915624">
            <w:pPr>
              <w:rPr>
                <w:rFonts w:ascii="Arial" w:hAnsi="Arial" w:cs="Arial"/>
                <w:sz w:val="20"/>
                <w:szCs w:val="20"/>
              </w:rPr>
            </w:pPr>
          </w:p>
          <w:p w:rsidR="00BE1E5E" w:rsidRPr="00A62DE9" w:rsidRDefault="00BE1E5E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Aplicada</w:t>
            </w:r>
          </w:p>
        </w:tc>
        <w:tc>
          <w:tcPr>
            <w:tcW w:w="2016" w:type="dxa"/>
          </w:tcPr>
          <w:p w:rsidR="00915624" w:rsidRDefault="00915624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E1E5E" w:rsidRDefault="004868D2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 w:rsidR="00A62DE9"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>SO 27001 apartado 3.</w:t>
            </w:r>
            <w:r w:rsidR="00A231F0" w:rsidRPr="00A62DE9">
              <w:rPr>
                <w:rFonts w:ascii="Arial" w:hAnsi="Arial" w:cs="Arial"/>
                <w:sz w:val="20"/>
                <w:szCs w:val="20"/>
              </w:rPr>
              <w:t>1.</w:t>
            </w:r>
            <w:r w:rsidRPr="00A62DE9">
              <w:rPr>
                <w:rFonts w:ascii="Arial" w:hAnsi="Arial" w:cs="Arial"/>
                <w:sz w:val="20"/>
                <w:szCs w:val="20"/>
              </w:rPr>
              <w:t>2</w:t>
            </w:r>
            <w:r w:rsidR="00800AA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7449" w:rsidRPr="00A62DE9" w:rsidTr="00AC0BC6">
        <w:tc>
          <w:tcPr>
            <w:tcW w:w="988" w:type="dxa"/>
            <w:vMerge/>
          </w:tcPr>
          <w:p w:rsidR="00BE1E5E" w:rsidRPr="00A62DE9" w:rsidRDefault="00BE1E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BE1E5E" w:rsidRPr="00A62DE9" w:rsidRDefault="00BE1E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915624" w:rsidRDefault="00915624" w:rsidP="00F34EC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1E5E" w:rsidRPr="00A62DE9" w:rsidRDefault="00BE1E5E" w:rsidP="00F34EC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6.1.3 Asignación de responsabilidades en seguridad de la información</w:t>
            </w:r>
          </w:p>
        </w:tc>
        <w:tc>
          <w:tcPr>
            <w:tcW w:w="1050" w:type="dxa"/>
          </w:tcPr>
          <w:p w:rsidR="00915624" w:rsidRDefault="00915624">
            <w:pPr>
              <w:rPr>
                <w:rFonts w:ascii="Arial" w:hAnsi="Arial" w:cs="Arial"/>
                <w:sz w:val="20"/>
                <w:szCs w:val="20"/>
              </w:rPr>
            </w:pPr>
          </w:p>
          <w:p w:rsidR="00BE1E5E" w:rsidRPr="00A62DE9" w:rsidRDefault="00BE1E5E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Aplicada</w:t>
            </w:r>
          </w:p>
        </w:tc>
        <w:tc>
          <w:tcPr>
            <w:tcW w:w="2016" w:type="dxa"/>
          </w:tcPr>
          <w:p w:rsidR="00915624" w:rsidRDefault="00915624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E1E5E" w:rsidRDefault="004868D2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 w:rsidR="00A62DE9"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>SO 27001 apartado 3</w:t>
            </w:r>
            <w:r w:rsidR="00A231F0" w:rsidRPr="00A62DE9">
              <w:rPr>
                <w:rFonts w:ascii="Arial" w:hAnsi="Arial" w:cs="Arial"/>
                <w:sz w:val="20"/>
                <w:szCs w:val="20"/>
              </w:rPr>
              <w:t>.1</w:t>
            </w:r>
            <w:r w:rsidRPr="00A62DE9">
              <w:rPr>
                <w:rFonts w:ascii="Arial" w:hAnsi="Arial" w:cs="Arial"/>
                <w:sz w:val="20"/>
                <w:szCs w:val="20"/>
              </w:rPr>
              <w:t>.2</w:t>
            </w:r>
            <w:r w:rsidR="00800AA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7449" w:rsidRPr="00A62DE9" w:rsidTr="00AC0BC6">
        <w:tc>
          <w:tcPr>
            <w:tcW w:w="988" w:type="dxa"/>
            <w:vMerge/>
          </w:tcPr>
          <w:p w:rsidR="00BE1E5E" w:rsidRPr="00A62DE9" w:rsidRDefault="00BE1E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BE1E5E" w:rsidRPr="00A62DE9" w:rsidRDefault="00BE1E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915624" w:rsidRDefault="00915624" w:rsidP="00F34EC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1E5E" w:rsidRPr="00A62DE9" w:rsidRDefault="00BE1E5E" w:rsidP="00F34EC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6.1.4 Proceso de autorización para las instalaciones de procesamiento de la información.</w:t>
            </w:r>
          </w:p>
        </w:tc>
        <w:tc>
          <w:tcPr>
            <w:tcW w:w="1050" w:type="dxa"/>
          </w:tcPr>
          <w:p w:rsidR="00915624" w:rsidRDefault="00915624">
            <w:pPr>
              <w:rPr>
                <w:rFonts w:ascii="Arial" w:hAnsi="Arial" w:cs="Arial"/>
                <w:sz w:val="20"/>
                <w:szCs w:val="20"/>
              </w:rPr>
            </w:pPr>
          </w:p>
          <w:p w:rsidR="00BE1E5E" w:rsidRPr="00A62DE9" w:rsidRDefault="00BE1E5E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Aplicada</w:t>
            </w:r>
          </w:p>
        </w:tc>
        <w:tc>
          <w:tcPr>
            <w:tcW w:w="2016" w:type="dxa"/>
          </w:tcPr>
          <w:p w:rsidR="00915624" w:rsidRDefault="00915624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E1E5E" w:rsidRDefault="00401207" w:rsidP="00A62DE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Aval Técnico para la Adquisición de Equipos y Servicios de Terceros para las Tecnologías de la Información y la Comunicación</w:t>
            </w:r>
            <w:r w:rsidR="00A231F0" w:rsidRPr="00A62DE9">
              <w:rPr>
                <w:rFonts w:ascii="Arial" w:hAnsi="Arial" w:cs="Arial"/>
                <w:sz w:val="20"/>
                <w:szCs w:val="20"/>
              </w:rPr>
              <w:t xml:space="preserve"> en la implementación de </w:t>
            </w:r>
            <w:r w:rsidR="00A231F0" w:rsidRPr="00A62DE9">
              <w:rPr>
                <w:rFonts w:ascii="Arial" w:hAnsi="Arial" w:cs="Arial"/>
                <w:sz w:val="20"/>
                <w:szCs w:val="20"/>
              </w:rPr>
              <w:lastRenderedPageBreak/>
              <w:t xml:space="preserve">la Norma </w:t>
            </w:r>
            <w:r w:rsidR="00A62DE9">
              <w:rPr>
                <w:rFonts w:ascii="Arial" w:hAnsi="Arial" w:cs="Arial"/>
                <w:sz w:val="20"/>
                <w:szCs w:val="20"/>
              </w:rPr>
              <w:t>I</w:t>
            </w:r>
            <w:r w:rsidR="00A231F0"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="00A231F0" w:rsidRPr="00E746D6">
              <w:rPr>
                <w:rFonts w:ascii="Arial" w:hAnsi="Arial" w:cs="Arial"/>
                <w:b/>
                <w:sz w:val="20"/>
                <w:szCs w:val="20"/>
              </w:rPr>
              <w:t>3.1.3.3</w:t>
            </w:r>
            <w:r w:rsidR="00800AAC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7449" w:rsidRPr="00A62DE9" w:rsidTr="00AC0BC6">
        <w:tc>
          <w:tcPr>
            <w:tcW w:w="988" w:type="dxa"/>
            <w:vMerge/>
          </w:tcPr>
          <w:p w:rsidR="00BE1E5E" w:rsidRPr="00A62DE9" w:rsidRDefault="00BE1E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BE1E5E" w:rsidRPr="00A62DE9" w:rsidRDefault="00BE1E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915624" w:rsidRDefault="00915624" w:rsidP="00F34EC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E1E5E" w:rsidRPr="00A62DE9" w:rsidRDefault="00BE1E5E" w:rsidP="00F34EC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6.1.5 Acuerdos de Confidencialidad</w:t>
            </w:r>
          </w:p>
        </w:tc>
        <w:tc>
          <w:tcPr>
            <w:tcW w:w="1050" w:type="dxa"/>
          </w:tcPr>
          <w:p w:rsidR="00915624" w:rsidRDefault="00915624">
            <w:pPr>
              <w:rPr>
                <w:rFonts w:ascii="Arial" w:hAnsi="Arial" w:cs="Arial"/>
                <w:sz w:val="20"/>
                <w:szCs w:val="20"/>
              </w:rPr>
            </w:pPr>
          </w:p>
          <w:p w:rsidR="00BE1E5E" w:rsidRPr="00A62DE9" w:rsidRDefault="00401207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Aplicada</w:t>
            </w:r>
          </w:p>
        </w:tc>
        <w:tc>
          <w:tcPr>
            <w:tcW w:w="2016" w:type="dxa"/>
          </w:tcPr>
          <w:p w:rsidR="00915624" w:rsidRDefault="00915624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E1E5E" w:rsidRDefault="00BE1E5E" w:rsidP="00A62DE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Acuerdo de Confidencialidad de la Información</w:t>
            </w:r>
            <w:r w:rsidR="00A231F0" w:rsidRPr="00A62DE9">
              <w:rPr>
                <w:rFonts w:ascii="Arial" w:hAnsi="Arial" w:cs="Arial"/>
                <w:sz w:val="20"/>
                <w:szCs w:val="20"/>
              </w:rPr>
              <w:t xml:space="preserve"> en la implementación de la Norma </w:t>
            </w:r>
            <w:r w:rsidR="00A62DE9">
              <w:rPr>
                <w:rFonts w:ascii="Arial" w:hAnsi="Arial" w:cs="Arial"/>
                <w:sz w:val="20"/>
                <w:szCs w:val="20"/>
              </w:rPr>
              <w:t>I</w:t>
            </w:r>
            <w:r w:rsidR="00A231F0"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="00A231F0" w:rsidRPr="00E746D6">
              <w:rPr>
                <w:rFonts w:ascii="Arial" w:hAnsi="Arial" w:cs="Arial"/>
                <w:b/>
                <w:sz w:val="20"/>
                <w:szCs w:val="20"/>
              </w:rPr>
              <w:t>3.1.3.4</w:t>
            </w:r>
            <w:r w:rsidR="00800AAC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7449" w:rsidRPr="00A62DE9" w:rsidTr="00AC0BC6">
        <w:tc>
          <w:tcPr>
            <w:tcW w:w="988" w:type="dxa"/>
            <w:vMerge/>
          </w:tcPr>
          <w:p w:rsidR="00401207" w:rsidRPr="00A62DE9" w:rsidRDefault="00401207" w:rsidP="004012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401207" w:rsidRPr="00A62DE9" w:rsidRDefault="00401207" w:rsidP="004012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915624" w:rsidRDefault="00915624" w:rsidP="0040120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01207" w:rsidRPr="00A62DE9" w:rsidRDefault="00401207" w:rsidP="0040120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6.1.6 Contacto con las Autoridades.</w:t>
            </w:r>
          </w:p>
        </w:tc>
        <w:tc>
          <w:tcPr>
            <w:tcW w:w="1050" w:type="dxa"/>
          </w:tcPr>
          <w:p w:rsidR="00915624" w:rsidRDefault="00915624" w:rsidP="00401207">
            <w:pPr>
              <w:rPr>
                <w:rFonts w:ascii="Arial" w:hAnsi="Arial" w:cs="Arial"/>
                <w:sz w:val="20"/>
                <w:szCs w:val="20"/>
              </w:rPr>
            </w:pPr>
          </w:p>
          <w:p w:rsidR="00401207" w:rsidRPr="00A62DE9" w:rsidRDefault="00401207" w:rsidP="00401207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Aplicada</w:t>
            </w:r>
          </w:p>
        </w:tc>
        <w:tc>
          <w:tcPr>
            <w:tcW w:w="2016" w:type="dxa"/>
          </w:tcPr>
          <w:p w:rsidR="00915624" w:rsidRDefault="00915624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01207" w:rsidRDefault="00A231F0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 w:rsidR="00A62DE9"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3.1.2, </w:t>
            </w:r>
            <w:r w:rsidR="00401207" w:rsidRPr="00A62DE9">
              <w:rPr>
                <w:rFonts w:ascii="Arial" w:hAnsi="Arial" w:cs="Arial"/>
                <w:sz w:val="20"/>
                <w:szCs w:val="20"/>
              </w:rPr>
              <w:t>aunque no se considera que ayude a mitigar los riesgos.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7449" w:rsidRPr="00A62DE9" w:rsidTr="00AC0BC6">
        <w:tc>
          <w:tcPr>
            <w:tcW w:w="988" w:type="dxa"/>
            <w:vMerge/>
          </w:tcPr>
          <w:p w:rsidR="00401207" w:rsidRPr="00A62DE9" w:rsidRDefault="00401207" w:rsidP="004012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401207" w:rsidRPr="00A62DE9" w:rsidRDefault="00401207" w:rsidP="004012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915624" w:rsidRDefault="00915624" w:rsidP="0040120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01207" w:rsidRPr="00A62DE9" w:rsidRDefault="00401207" w:rsidP="0040120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6.1.7 Contacto con grupos de interés especial.</w:t>
            </w:r>
          </w:p>
        </w:tc>
        <w:tc>
          <w:tcPr>
            <w:tcW w:w="1050" w:type="dxa"/>
          </w:tcPr>
          <w:p w:rsidR="00915624" w:rsidRDefault="00915624" w:rsidP="00401207">
            <w:pPr>
              <w:rPr>
                <w:rFonts w:ascii="Arial" w:hAnsi="Arial" w:cs="Arial"/>
                <w:sz w:val="20"/>
                <w:szCs w:val="20"/>
              </w:rPr>
            </w:pPr>
          </w:p>
          <w:p w:rsidR="00401207" w:rsidRPr="00A62DE9" w:rsidRDefault="00401207" w:rsidP="00401207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Aplicada</w:t>
            </w:r>
          </w:p>
        </w:tc>
        <w:tc>
          <w:tcPr>
            <w:tcW w:w="2016" w:type="dxa"/>
          </w:tcPr>
          <w:p w:rsidR="00915624" w:rsidRDefault="00915624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01207" w:rsidRDefault="00A231F0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 w:rsidR="00A62DE9"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>SO 27001 apartado 3.1.2</w:t>
            </w:r>
            <w:r w:rsidR="00800AA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7449" w:rsidRPr="00A62DE9" w:rsidTr="00AC0BC6">
        <w:tc>
          <w:tcPr>
            <w:tcW w:w="988" w:type="dxa"/>
            <w:vMerge/>
          </w:tcPr>
          <w:p w:rsidR="00401207" w:rsidRPr="00A62DE9" w:rsidRDefault="00401207" w:rsidP="004012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401207" w:rsidRPr="00A62DE9" w:rsidRDefault="00401207" w:rsidP="004012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915624" w:rsidRDefault="00915624" w:rsidP="0040120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01207" w:rsidRPr="00A62DE9" w:rsidRDefault="00401207" w:rsidP="0040120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6.1.8 Revisión Independiente de la seguridad de la información.</w:t>
            </w:r>
          </w:p>
        </w:tc>
        <w:tc>
          <w:tcPr>
            <w:tcW w:w="1050" w:type="dxa"/>
          </w:tcPr>
          <w:p w:rsidR="00915624" w:rsidRDefault="00915624" w:rsidP="00401207">
            <w:pPr>
              <w:rPr>
                <w:rFonts w:ascii="Arial" w:hAnsi="Arial" w:cs="Arial"/>
                <w:sz w:val="20"/>
                <w:szCs w:val="20"/>
              </w:rPr>
            </w:pPr>
          </w:p>
          <w:p w:rsidR="00401207" w:rsidRPr="00A62DE9" w:rsidRDefault="00933E3C" w:rsidP="00401207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016" w:type="dxa"/>
          </w:tcPr>
          <w:p w:rsidR="00915624" w:rsidRDefault="00915624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01207" w:rsidRDefault="00A231F0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 w:rsidR="00A62DE9"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3.1.2, aunque </w:t>
            </w:r>
            <w:r w:rsidR="00933E3C" w:rsidRPr="00A62DE9">
              <w:rPr>
                <w:rFonts w:ascii="Arial" w:hAnsi="Arial" w:cs="Arial"/>
                <w:sz w:val="20"/>
                <w:szCs w:val="20"/>
              </w:rPr>
              <w:t>no</w:t>
            </w:r>
            <w:r w:rsidR="00AD3845" w:rsidRPr="00A62DE9">
              <w:rPr>
                <w:rFonts w:ascii="Arial" w:hAnsi="Arial" w:cs="Arial"/>
                <w:sz w:val="20"/>
                <w:szCs w:val="20"/>
              </w:rPr>
              <w:t xml:space="preserve"> se</w:t>
            </w:r>
            <w:r w:rsidR="00933E3C" w:rsidRPr="00A62D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2DE9">
              <w:rPr>
                <w:rFonts w:ascii="Arial" w:hAnsi="Arial" w:cs="Arial"/>
                <w:sz w:val="20"/>
                <w:szCs w:val="20"/>
              </w:rPr>
              <w:t>c</w:t>
            </w:r>
            <w:r w:rsidR="00933E3C" w:rsidRPr="00A62DE9">
              <w:rPr>
                <w:rFonts w:ascii="Arial" w:hAnsi="Arial" w:cs="Arial"/>
                <w:sz w:val="20"/>
                <w:szCs w:val="20"/>
              </w:rPr>
              <w:t xml:space="preserve">onsidera </w:t>
            </w:r>
            <w:r w:rsidR="00AD3845" w:rsidRPr="00A62DE9">
              <w:rPr>
                <w:rFonts w:ascii="Arial" w:hAnsi="Arial" w:cs="Arial"/>
                <w:sz w:val="20"/>
                <w:szCs w:val="20"/>
              </w:rPr>
              <w:t xml:space="preserve"> porque </w:t>
            </w:r>
            <w:r w:rsidR="00933E3C" w:rsidRPr="00A62DE9">
              <w:rPr>
                <w:rFonts w:ascii="Arial" w:hAnsi="Arial" w:cs="Arial"/>
                <w:sz w:val="20"/>
                <w:szCs w:val="20"/>
              </w:rPr>
              <w:t xml:space="preserve">el coste de implementación </w:t>
            </w:r>
            <w:r w:rsidR="00AD3845" w:rsidRPr="00A62DE9">
              <w:rPr>
                <w:rFonts w:ascii="Arial" w:hAnsi="Arial" w:cs="Arial"/>
                <w:sz w:val="20"/>
                <w:szCs w:val="20"/>
              </w:rPr>
              <w:t>de este control supera</w:t>
            </w:r>
            <w:r w:rsidR="00933E3C" w:rsidRPr="00A62DE9">
              <w:rPr>
                <w:rFonts w:ascii="Arial" w:hAnsi="Arial" w:cs="Arial"/>
                <w:sz w:val="20"/>
                <w:szCs w:val="20"/>
              </w:rPr>
              <w:t xml:space="preserve"> al beneficio del Plan</w:t>
            </w:r>
            <w:r w:rsidR="00AD3845" w:rsidRPr="00A62DE9">
              <w:rPr>
                <w:rFonts w:ascii="Arial" w:hAnsi="Arial" w:cs="Arial"/>
                <w:sz w:val="20"/>
                <w:szCs w:val="20"/>
              </w:rPr>
              <w:t xml:space="preserve"> de Seguridad.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3845" w:rsidRPr="00A62DE9" w:rsidTr="00AC0BC6">
        <w:tc>
          <w:tcPr>
            <w:tcW w:w="988" w:type="dxa"/>
            <w:vMerge w:val="restart"/>
          </w:tcPr>
          <w:p w:rsidR="00915624" w:rsidRDefault="00915624" w:rsidP="00AD38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D3845" w:rsidRPr="00A62DE9" w:rsidRDefault="00AD3845" w:rsidP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A.6.2</w:t>
            </w:r>
          </w:p>
        </w:tc>
        <w:tc>
          <w:tcPr>
            <w:tcW w:w="1984" w:type="dxa"/>
            <w:vMerge w:val="restart"/>
          </w:tcPr>
          <w:p w:rsidR="00915624" w:rsidRDefault="00915624" w:rsidP="00AD38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D3845" w:rsidRPr="00A62DE9" w:rsidRDefault="00AD3845" w:rsidP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Terceras Personas</w:t>
            </w:r>
          </w:p>
        </w:tc>
        <w:tc>
          <w:tcPr>
            <w:tcW w:w="2456" w:type="dxa"/>
          </w:tcPr>
          <w:p w:rsidR="00915624" w:rsidRDefault="00915624" w:rsidP="00AD38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D3845" w:rsidRPr="00A62DE9" w:rsidRDefault="00AD3845" w:rsidP="00AD38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6.2.1 Identificación de riesgos relacionados con terceras partes.</w:t>
            </w:r>
          </w:p>
        </w:tc>
        <w:tc>
          <w:tcPr>
            <w:tcW w:w="1050" w:type="dxa"/>
          </w:tcPr>
          <w:p w:rsidR="00915624" w:rsidRDefault="00915624" w:rsidP="00AD38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D3845" w:rsidRPr="00A62DE9" w:rsidRDefault="00AD3845" w:rsidP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016" w:type="dxa"/>
          </w:tcPr>
          <w:p w:rsidR="00915624" w:rsidRDefault="00915624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D3845" w:rsidRDefault="00A231F0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 w:rsidR="00A62DE9"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3.1.2, aunque </w:t>
            </w:r>
            <w:r w:rsidR="00AD3845" w:rsidRPr="00A62DE9">
              <w:rPr>
                <w:rFonts w:ascii="Arial" w:hAnsi="Arial" w:cs="Arial"/>
                <w:sz w:val="20"/>
                <w:szCs w:val="20"/>
              </w:rPr>
              <w:t xml:space="preserve">no se considera  porque el coste de implementación de este control supera </w:t>
            </w:r>
            <w:r w:rsidR="00AD3845" w:rsidRPr="00A62DE9">
              <w:rPr>
                <w:rFonts w:ascii="Arial" w:hAnsi="Arial" w:cs="Arial"/>
                <w:sz w:val="20"/>
                <w:szCs w:val="20"/>
              </w:rPr>
              <w:lastRenderedPageBreak/>
              <w:t>al beneficio del Plan de Seguridad.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3845" w:rsidRPr="00A62DE9" w:rsidTr="00AC0BC6">
        <w:tc>
          <w:tcPr>
            <w:tcW w:w="988" w:type="dxa"/>
            <w:vMerge/>
          </w:tcPr>
          <w:p w:rsidR="00AD3845" w:rsidRPr="00A62DE9" w:rsidRDefault="00AD3845" w:rsidP="00AD38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AD3845" w:rsidRPr="00A62DE9" w:rsidRDefault="00AD3845" w:rsidP="00AD38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AC4E5E" w:rsidRDefault="00AC4E5E" w:rsidP="00AD38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D3845" w:rsidRPr="00A62DE9" w:rsidRDefault="00AD3845" w:rsidP="00AD38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6.2.2 Gestión de la seguridad al tratar con clientes.</w:t>
            </w:r>
          </w:p>
        </w:tc>
        <w:tc>
          <w:tcPr>
            <w:tcW w:w="1050" w:type="dxa"/>
          </w:tcPr>
          <w:p w:rsidR="00AC4E5E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D3845" w:rsidRPr="00A62DE9" w:rsidRDefault="00AD3845" w:rsidP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016" w:type="dxa"/>
          </w:tcPr>
          <w:p w:rsidR="00AC4E5E" w:rsidRDefault="00AC4E5E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D3845" w:rsidRDefault="00A231F0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 w:rsidR="00A62DE9"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3.1.2, aunque </w:t>
            </w:r>
            <w:r w:rsidR="00AD3845" w:rsidRPr="00A62DE9">
              <w:rPr>
                <w:rFonts w:ascii="Arial" w:hAnsi="Arial" w:cs="Arial"/>
                <w:sz w:val="20"/>
                <w:szCs w:val="20"/>
              </w:rPr>
              <w:t>no se considera  que este control ayude a reducir el riesgo de los activos.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3845" w:rsidRPr="00A62DE9" w:rsidTr="00AC0BC6">
        <w:tc>
          <w:tcPr>
            <w:tcW w:w="988" w:type="dxa"/>
            <w:vMerge/>
          </w:tcPr>
          <w:p w:rsidR="00AD3845" w:rsidRPr="00A62DE9" w:rsidRDefault="00AD3845" w:rsidP="00AD38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AD3845" w:rsidRPr="00A62DE9" w:rsidRDefault="00AD3845" w:rsidP="00AD38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AC4E5E" w:rsidRDefault="00AC4E5E" w:rsidP="00AD38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D3845" w:rsidRPr="00A62DE9" w:rsidRDefault="00AD3845" w:rsidP="00AD38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6.2.3 Gestión de la Seguridad en contratos con terceras partes.</w:t>
            </w:r>
          </w:p>
        </w:tc>
        <w:tc>
          <w:tcPr>
            <w:tcW w:w="1050" w:type="dxa"/>
          </w:tcPr>
          <w:p w:rsidR="00AC4E5E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D3845" w:rsidRPr="00A62DE9" w:rsidRDefault="00AD3845" w:rsidP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016" w:type="dxa"/>
          </w:tcPr>
          <w:p w:rsidR="00AC4E5E" w:rsidRDefault="00AC4E5E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D3845" w:rsidRDefault="00A231F0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 w:rsidR="00A62DE9"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3.1.2, aunque </w:t>
            </w:r>
            <w:r w:rsidR="00AD3845" w:rsidRPr="00A62DE9">
              <w:rPr>
                <w:rFonts w:ascii="Arial" w:hAnsi="Arial" w:cs="Arial"/>
                <w:sz w:val="20"/>
                <w:szCs w:val="20"/>
              </w:rPr>
              <w:t>no se considera  porque el coste de implementación de este control supera al beneficio del Plan de Seguridad.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3845" w:rsidRPr="00A62DE9" w:rsidTr="00C13830">
        <w:tc>
          <w:tcPr>
            <w:tcW w:w="988" w:type="dxa"/>
            <w:shd w:val="clear" w:color="auto" w:fill="BDD6EE" w:themeFill="accent1" w:themeFillTint="66"/>
          </w:tcPr>
          <w:p w:rsidR="00A62DE9" w:rsidRDefault="00A62DE9" w:rsidP="00AD38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D3845" w:rsidRPr="00A62DE9" w:rsidRDefault="00AD3845" w:rsidP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</w:t>
            </w:r>
            <w:r w:rsidR="00F701D7" w:rsidRPr="00A62DE9">
              <w:rPr>
                <w:rFonts w:ascii="Arial" w:hAnsi="Arial" w:cs="Arial"/>
                <w:sz w:val="20"/>
                <w:szCs w:val="20"/>
              </w:rPr>
              <w:t>.</w:t>
            </w:r>
            <w:r w:rsidRPr="00A62DE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506" w:type="dxa"/>
            <w:gridSpan w:val="4"/>
            <w:shd w:val="clear" w:color="auto" w:fill="BDD6EE" w:themeFill="accent1" w:themeFillTint="66"/>
          </w:tcPr>
          <w:p w:rsidR="00A62DE9" w:rsidRDefault="00A62DE9" w:rsidP="00AD38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D3845" w:rsidRPr="00A62DE9" w:rsidRDefault="00AD3845" w:rsidP="00AD38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GESTIÓN DE ACTIVOS</w:t>
            </w:r>
            <w:r w:rsidR="0047112B" w:rsidRPr="00A62DE9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AC4E5E" w:rsidRPr="00A62DE9" w:rsidTr="00AC0BC6">
        <w:tc>
          <w:tcPr>
            <w:tcW w:w="988" w:type="dxa"/>
            <w:vMerge w:val="restart"/>
          </w:tcPr>
          <w:p w:rsidR="00AC4E5E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C4E5E" w:rsidRPr="00A62DE9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A.7.1</w:t>
            </w:r>
          </w:p>
        </w:tc>
        <w:tc>
          <w:tcPr>
            <w:tcW w:w="1984" w:type="dxa"/>
            <w:vMerge w:val="restart"/>
          </w:tcPr>
          <w:p w:rsidR="00AC4E5E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C4E5E" w:rsidRPr="00A62DE9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Responsabilidad de los Activos</w:t>
            </w:r>
          </w:p>
        </w:tc>
        <w:tc>
          <w:tcPr>
            <w:tcW w:w="2456" w:type="dxa"/>
          </w:tcPr>
          <w:p w:rsidR="00AC4E5E" w:rsidRDefault="00AC4E5E" w:rsidP="00AD38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C4E5E" w:rsidRPr="00A62DE9" w:rsidRDefault="00AC4E5E" w:rsidP="00AD38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7.1.1 Inventario de activos.</w:t>
            </w:r>
          </w:p>
        </w:tc>
        <w:tc>
          <w:tcPr>
            <w:tcW w:w="1050" w:type="dxa"/>
          </w:tcPr>
          <w:p w:rsidR="00AC4E5E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C4E5E" w:rsidRPr="00A62DE9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AC4E5E" w:rsidRDefault="00AC4E5E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C4E5E" w:rsidRDefault="00AC4E5E" w:rsidP="00A62DE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Procedimiento para la Documentación del Inventario de Activos de la Información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E746D6">
              <w:rPr>
                <w:rFonts w:ascii="Arial" w:hAnsi="Arial" w:cs="Arial"/>
                <w:b/>
                <w:sz w:val="20"/>
                <w:szCs w:val="20"/>
              </w:rPr>
              <w:t>3.1.4.1.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4E5E" w:rsidRPr="00A62DE9" w:rsidTr="00AC0BC6">
        <w:tc>
          <w:tcPr>
            <w:tcW w:w="988" w:type="dxa"/>
            <w:vMerge/>
          </w:tcPr>
          <w:p w:rsidR="00AC4E5E" w:rsidRPr="00A62DE9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AC4E5E" w:rsidRPr="00A62DE9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AC4E5E" w:rsidRDefault="00AC4E5E" w:rsidP="00AD38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C4E5E" w:rsidRPr="00A62DE9" w:rsidRDefault="00AC4E5E" w:rsidP="00AD38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7.1.2 Propiedad de los Activos.</w:t>
            </w:r>
          </w:p>
        </w:tc>
        <w:tc>
          <w:tcPr>
            <w:tcW w:w="1050" w:type="dxa"/>
          </w:tcPr>
          <w:p w:rsidR="00AC4E5E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C4E5E" w:rsidRPr="00A62DE9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AC4E5E" w:rsidRDefault="00AC4E5E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C4E5E" w:rsidRDefault="00AC4E5E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Procedimiento para la Documentación del Inventario de Activos de la Información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3.1.4.1.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4E5E" w:rsidRPr="00A62DE9" w:rsidTr="00AC0BC6">
        <w:tc>
          <w:tcPr>
            <w:tcW w:w="988" w:type="dxa"/>
            <w:vMerge/>
          </w:tcPr>
          <w:p w:rsidR="00AC4E5E" w:rsidRPr="00A62DE9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AC4E5E" w:rsidRPr="00A62DE9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AC4E5E" w:rsidRDefault="00AC4E5E" w:rsidP="00AD38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C4E5E" w:rsidRPr="00A62DE9" w:rsidRDefault="00AC4E5E" w:rsidP="00AD38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7.1.3 Utilización aceptable de los activos.</w:t>
            </w:r>
          </w:p>
        </w:tc>
        <w:tc>
          <w:tcPr>
            <w:tcW w:w="1050" w:type="dxa"/>
          </w:tcPr>
          <w:p w:rsidR="00AC4E5E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C4E5E" w:rsidRPr="00A62DE9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AC4E5E" w:rsidRDefault="00AC4E5E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C4E5E" w:rsidRDefault="00AC4E5E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</w:t>
            </w:r>
            <w:r w:rsidRPr="00A62DE9">
              <w:rPr>
                <w:rFonts w:ascii="Arial" w:hAnsi="Arial" w:cs="Arial"/>
                <w:sz w:val="20"/>
                <w:szCs w:val="20"/>
              </w:rPr>
              <w:lastRenderedPageBreak/>
              <w:t xml:space="preserve">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01C" w:rsidRPr="00A62DE9" w:rsidTr="00AC0BC6">
        <w:tc>
          <w:tcPr>
            <w:tcW w:w="988" w:type="dxa"/>
            <w:vMerge w:val="restart"/>
          </w:tcPr>
          <w:p w:rsidR="00AC4E5E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</w:p>
          <w:p w:rsidR="00D8001C" w:rsidRPr="00A62DE9" w:rsidRDefault="00D8001C" w:rsidP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A.7.2</w:t>
            </w:r>
          </w:p>
        </w:tc>
        <w:tc>
          <w:tcPr>
            <w:tcW w:w="1984" w:type="dxa"/>
            <w:vMerge w:val="restart"/>
          </w:tcPr>
          <w:p w:rsidR="00AC4E5E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</w:p>
          <w:p w:rsidR="00D8001C" w:rsidRPr="00A62DE9" w:rsidRDefault="0047112B" w:rsidP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Clasificación de la Información</w:t>
            </w:r>
          </w:p>
        </w:tc>
        <w:tc>
          <w:tcPr>
            <w:tcW w:w="2456" w:type="dxa"/>
          </w:tcPr>
          <w:p w:rsidR="00AC4E5E" w:rsidRDefault="00AC4E5E" w:rsidP="00AD38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8001C" w:rsidRPr="00A62DE9" w:rsidRDefault="00D8001C" w:rsidP="00AD38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7.2.1 Guías de Clasificación.</w:t>
            </w:r>
          </w:p>
        </w:tc>
        <w:tc>
          <w:tcPr>
            <w:tcW w:w="1050" w:type="dxa"/>
          </w:tcPr>
          <w:p w:rsidR="00AC4E5E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</w:p>
          <w:p w:rsidR="00D8001C" w:rsidRPr="00A62DE9" w:rsidRDefault="00D8001C" w:rsidP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AC4E5E" w:rsidRDefault="00AC4E5E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8001C" w:rsidRDefault="00D8001C" w:rsidP="00A62DE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Procedimiento para la Codificación de los Activos de la Información</w:t>
            </w:r>
            <w:r w:rsidR="00A231F0" w:rsidRPr="00A62DE9">
              <w:rPr>
                <w:rFonts w:ascii="Arial" w:hAnsi="Arial" w:cs="Arial"/>
                <w:sz w:val="20"/>
                <w:szCs w:val="20"/>
              </w:rPr>
              <w:t xml:space="preserve"> en la implementación de la Norma </w:t>
            </w:r>
            <w:r w:rsidR="00A62DE9">
              <w:rPr>
                <w:rFonts w:ascii="Arial" w:hAnsi="Arial" w:cs="Arial"/>
                <w:sz w:val="20"/>
                <w:szCs w:val="20"/>
              </w:rPr>
              <w:t>I</w:t>
            </w:r>
            <w:r w:rsidR="00A231F0"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="00A231F0" w:rsidRPr="00800AAC">
              <w:rPr>
                <w:rFonts w:ascii="Arial" w:hAnsi="Arial" w:cs="Arial"/>
                <w:b/>
                <w:sz w:val="20"/>
                <w:szCs w:val="20"/>
              </w:rPr>
              <w:t>3.1.4.2.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01C" w:rsidRPr="00A62DE9" w:rsidTr="00AC0BC6">
        <w:tc>
          <w:tcPr>
            <w:tcW w:w="988" w:type="dxa"/>
            <w:vMerge/>
          </w:tcPr>
          <w:p w:rsidR="00D8001C" w:rsidRPr="00A62DE9" w:rsidRDefault="00D8001C" w:rsidP="00AD38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8001C" w:rsidRPr="00A62DE9" w:rsidRDefault="00D8001C" w:rsidP="00AD38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AC4E5E" w:rsidRDefault="00AC4E5E" w:rsidP="00AD38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8001C" w:rsidRPr="00A62DE9" w:rsidRDefault="00D8001C" w:rsidP="00AD38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7.2.2 Etiquetación y Tratamiento de la información</w:t>
            </w:r>
            <w:r w:rsidR="0047112B" w:rsidRPr="00A62DE9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1050" w:type="dxa"/>
          </w:tcPr>
          <w:p w:rsidR="00AC4E5E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</w:p>
          <w:p w:rsidR="00D8001C" w:rsidRPr="00A62DE9" w:rsidRDefault="00D8001C" w:rsidP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AC4E5E" w:rsidRDefault="00AC4E5E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8001C" w:rsidRDefault="00D8001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Procedimiento para la Codificación de los Activos de la Información</w:t>
            </w:r>
            <w:r w:rsidR="00800A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0AAC" w:rsidRPr="00A62DE9">
              <w:rPr>
                <w:rFonts w:ascii="Arial" w:hAnsi="Arial" w:cs="Arial"/>
                <w:sz w:val="20"/>
                <w:szCs w:val="20"/>
              </w:rPr>
              <w:t xml:space="preserve">en la implementación de la Norma </w:t>
            </w:r>
            <w:r w:rsidR="00800AAC">
              <w:rPr>
                <w:rFonts w:ascii="Arial" w:hAnsi="Arial" w:cs="Arial"/>
                <w:sz w:val="20"/>
                <w:szCs w:val="20"/>
              </w:rPr>
              <w:t>I</w:t>
            </w:r>
            <w:r w:rsidR="00800AAC"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="00800AAC" w:rsidRPr="00800AAC">
              <w:rPr>
                <w:rFonts w:ascii="Arial" w:hAnsi="Arial" w:cs="Arial"/>
                <w:b/>
                <w:sz w:val="20"/>
                <w:szCs w:val="20"/>
              </w:rPr>
              <w:t>3.1.4.2.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112B" w:rsidRPr="00A62DE9" w:rsidTr="00C13830">
        <w:tc>
          <w:tcPr>
            <w:tcW w:w="988" w:type="dxa"/>
            <w:shd w:val="clear" w:color="auto" w:fill="BDD6EE" w:themeFill="accent1" w:themeFillTint="66"/>
          </w:tcPr>
          <w:p w:rsidR="00A62DE9" w:rsidRDefault="00A62DE9" w:rsidP="00AD3845">
            <w:pPr>
              <w:rPr>
                <w:rFonts w:ascii="Arial" w:hAnsi="Arial" w:cs="Arial"/>
                <w:sz w:val="20"/>
                <w:szCs w:val="20"/>
              </w:rPr>
            </w:pPr>
          </w:p>
          <w:p w:rsidR="0047112B" w:rsidRPr="00A62DE9" w:rsidRDefault="0047112B" w:rsidP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A.8</w:t>
            </w:r>
          </w:p>
        </w:tc>
        <w:tc>
          <w:tcPr>
            <w:tcW w:w="7506" w:type="dxa"/>
            <w:gridSpan w:val="4"/>
            <w:shd w:val="clear" w:color="auto" w:fill="BDD6EE" w:themeFill="accent1" w:themeFillTint="66"/>
          </w:tcPr>
          <w:p w:rsidR="00A62DE9" w:rsidRDefault="00A62DE9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7112B" w:rsidRPr="00A62DE9" w:rsidRDefault="0047112B" w:rsidP="00A62DE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SEGURIDAD DE LA GESTIÓN DE LOS RECURSOS HUMANOS</w:t>
            </w:r>
          </w:p>
        </w:tc>
      </w:tr>
      <w:tr w:rsidR="00A41993" w:rsidRPr="00A62DE9" w:rsidTr="00AC0BC6">
        <w:tc>
          <w:tcPr>
            <w:tcW w:w="988" w:type="dxa"/>
            <w:vMerge w:val="restart"/>
          </w:tcPr>
          <w:p w:rsidR="00AC4E5E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41993" w:rsidRPr="00A62DE9" w:rsidRDefault="00A41993" w:rsidP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A.8.1</w:t>
            </w:r>
          </w:p>
        </w:tc>
        <w:tc>
          <w:tcPr>
            <w:tcW w:w="1984" w:type="dxa"/>
            <w:vMerge w:val="restart"/>
          </w:tcPr>
          <w:p w:rsidR="00AC4E5E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41993" w:rsidRPr="00A62DE9" w:rsidRDefault="00A41993" w:rsidP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Antes de la </w:t>
            </w:r>
            <w:r w:rsidRPr="00A62DE9">
              <w:rPr>
                <w:rFonts w:ascii="Arial" w:hAnsi="Arial" w:cs="Arial"/>
                <w:sz w:val="20"/>
                <w:szCs w:val="20"/>
              </w:rPr>
              <w:br/>
              <w:t>Contratación</w:t>
            </w:r>
          </w:p>
        </w:tc>
        <w:tc>
          <w:tcPr>
            <w:tcW w:w="2456" w:type="dxa"/>
          </w:tcPr>
          <w:p w:rsidR="00AC4E5E" w:rsidRDefault="00AC4E5E" w:rsidP="00AD38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41993" w:rsidRPr="00A62DE9" w:rsidRDefault="00A41993" w:rsidP="00AD38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8.1.1 Roles y Responsabilidades.</w:t>
            </w:r>
          </w:p>
        </w:tc>
        <w:tc>
          <w:tcPr>
            <w:tcW w:w="1050" w:type="dxa"/>
          </w:tcPr>
          <w:p w:rsidR="00AC4E5E" w:rsidRDefault="00AC4E5E" w:rsidP="00AD38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41993" w:rsidRPr="00A62DE9" w:rsidRDefault="00A41993" w:rsidP="00AD3845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016" w:type="dxa"/>
          </w:tcPr>
          <w:p w:rsidR="00AC4E5E" w:rsidRDefault="00AC4E5E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41993" w:rsidRPr="00A62DE9" w:rsidRDefault="00025DA7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Está</w:t>
            </w:r>
            <w:r w:rsidR="00A41993" w:rsidRPr="00A62DE9">
              <w:rPr>
                <w:rFonts w:ascii="Arial" w:hAnsi="Arial" w:cs="Arial"/>
                <w:sz w:val="20"/>
                <w:szCs w:val="20"/>
              </w:rPr>
              <w:t xml:space="preserve"> estipulado en las Políticas </w:t>
            </w:r>
            <w:r w:rsidRPr="00A62DE9">
              <w:rPr>
                <w:rFonts w:ascii="Arial" w:hAnsi="Arial" w:cs="Arial"/>
                <w:sz w:val="20"/>
                <w:szCs w:val="20"/>
              </w:rPr>
              <w:t>SIG, el cual es un documento controlo y confidencial.</w:t>
            </w:r>
          </w:p>
          <w:p w:rsidR="00010671" w:rsidRDefault="00010671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5DA7" w:rsidRDefault="00025DA7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En el análisis de riesgos no se lo considera una amenaza.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DA7" w:rsidRPr="00A62DE9" w:rsidTr="00AC0BC6">
        <w:tc>
          <w:tcPr>
            <w:tcW w:w="988" w:type="dxa"/>
            <w:vMerge/>
          </w:tcPr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AC4E5E" w:rsidRDefault="00AC4E5E" w:rsidP="00025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025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8.1.2 Análisis y Selección</w:t>
            </w:r>
          </w:p>
        </w:tc>
        <w:tc>
          <w:tcPr>
            <w:tcW w:w="1050" w:type="dxa"/>
          </w:tcPr>
          <w:p w:rsidR="00AC4E5E" w:rsidRDefault="00AC4E5E" w:rsidP="00025DA7">
            <w:pPr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016" w:type="dxa"/>
          </w:tcPr>
          <w:p w:rsidR="00AC4E5E" w:rsidRDefault="00AC4E5E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5DA7" w:rsidRDefault="00025DA7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Está estipulado en las Políticas SIG, el cual es un documento controlo y confidencial.</w:t>
            </w:r>
          </w:p>
          <w:p w:rsidR="00010671" w:rsidRPr="00A62DE9" w:rsidRDefault="00010671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5DA7" w:rsidRDefault="00025DA7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Se controla la selección de personal por el proceso de Talento Humano.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DA7" w:rsidRPr="00A62DE9" w:rsidTr="00AC0BC6">
        <w:tc>
          <w:tcPr>
            <w:tcW w:w="988" w:type="dxa"/>
            <w:vMerge/>
          </w:tcPr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AC4E5E" w:rsidRDefault="00AC4E5E" w:rsidP="00025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025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8.1.3 Términos y condiciones de empleo.</w:t>
            </w:r>
          </w:p>
        </w:tc>
        <w:tc>
          <w:tcPr>
            <w:tcW w:w="1050" w:type="dxa"/>
          </w:tcPr>
          <w:p w:rsidR="00AC4E5E" w:rsidRDefault="00AC4E5E" w:rsidP="00025DA7">
            <w:pPr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016" w:type="dxa"/>
          </w:tcPr>
          <w:p w:rsidR="00AC4E5E" w:rsidRDefault="00AC4E5E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Está estipulado en las Políticas SIG, el cual es un documento controlo y confidencial.</w:t>
            </w:r>
          </w:p>
          <w:p w:rsidR="00010671" w:rsidRDefault="00010671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5DA7" w:rsidRDefault="00025DA7" w:rsidP="00800A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Documentado en los Contratos del Ministerio de </w:t>
            </w:r>
            <w:r w:rsidRPr="00A62DE9">
              <w:rPr>
                <w:rFonts w:ascii="Arial" w:hAnsi="Arial" w:cs="Arial"/>
                <w:sz w:val="20"/>
                <w:szCs w:val="20"/>
              </w:rPr>
              <w:lastRenderedPageBreak/>
              <w:t>Relaciones Laborales.</w:t>
            </w:r>
          </w:p>
          <w:p w:rsidR="00800AAC" w:rsidRPr="00A62DE9" w:rsidRDefault="00800AAC" w:rsidP="00800A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DA7" w:rsidRPr="00A62DE9" w:rsidTr="00AC0BC6">
        <w:tc>
          <w:tcPr>
            <w:tcW w:w="988" w:type="dxa"/>
            <w:vMerge w:val="restart"/>
          </w:tcPr>
          <w:p w:rsidR="00AC4E5E" w:rsidRDefault="00AC4E5E" w:rsidP="00025DA7">
            <w:pPr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A.8.2</w:t>
            </w:r>
          </w:p>
        </w:tc>
        <w:tc>
          <w:tcPr>
            <w:tcW w:w="1984" w:type="dxa"/>
            <w:vMerge w:val="restart"/>
          </w:tcPr>
          <w:p w:rsidR="00AC4E5E" w:rsidRDefault="00AC4E5E" w:rsidP="00025DA7">
            <w:pPr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Durante el empleo</w:t>
            </w:r>
          </w:p>
        </w:tc>
        <w:tc>
          <w:tcPr>
            <w:tcW w:w="2456" w:type="dxa"/>
          </w:tcPr>
          <w:p w:rsidR="00AC4E5E" w:rsidRDefault="00AC4E5E" w:rsidP="00025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025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8.2.1 Responsabilidad de los gestores.</w:t>
            </w:r>
          </w:p>
        </w:tc>
        <w:tc>
          <w:tcPr>
            <w:tcW w:w="1050" w:type="dxa"/>
          </w:tcPr>
          <w:p w:rsidR="00AC4E5E" w:rsidRDefault="00AC4E5E" w:rsidP="00025DA7">
            <w:pPr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016" w:type="dxa"/>
          </w:tcPr>
          <w:p w:rsidR="00AC4E5E" w:rsidRDefault="00AC4E5E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Está estipulado en las Políticas SIG, el cual es un documento controlo y confidencial.</w:t>
            </w:r>
          </w:p>
          <w:p w:rsidR="00010671" w:rsidRDefault="00010671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5DA7" w:rsidRDefault="00025DA7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En el análisis de riesgos no se lo considera una amenaza.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DA7" w:rsidRPr="00A62DE9" w:rsidTr="00AC0BC6">
        <w:tc>
          <w:tcPr>
            <w:tcW w:w="988" w:type="dxa"/>
            <w:vMerge/>
          </w:tcPr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AC4E5E" w:rsidRDefault="00AC4E5E" w:rsidP="00025DA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25DA7" w:rsidRPr="00A62DE9" w:rsidRDefault="00025DA7" w:rsidP="00025DA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8.2.2 Concienciación, formación.</w:t>
            </w:r>
          </w:p>
        </w:tc>
        <w:tc>
          <w:tcPr>
            <w:tcW w:w="1050" w:type="dxa"/>
          </w:tcPr>
          <w:p w:rsidR="00AC4E5E" w:rsidRDefault="00AC4E5E" w:rsidP="00025DA7">
            <w:pPr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AC4E5E" w:rsidRDefault="00AC4E5E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736544" w:rsidRDefault="00736544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5DA7" w:rsidRDefault="00A231F0" w:rsidP="00A62DE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Procedimiento para la Concienciación, Formación y Capacitación en Seguridad Informática en la implementación de la Norma </w:t>
            </w:r>
            <w:r w:rsidR="00A62DE9"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E746D6">
              <w:rPr>
                <w:rFonts w:ascii="Arial" w:hAnsi="Arial" w:cs="Arial"/>
                <w:b/>
                <w:sz w:val="20"/>
                <w:szCs w:val="20"/>
              </w:rPr>
              <w:t>3.1.5.1.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DA7" w:rsidRPr="00A62DE9" w:rsidTr="00AC0BC6">
        <w:tc>
          <w:tcPr>
            <w:tcW w:w="988" w:type="dxa"/>
            <w:vMerge/>
          </w:tcPr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AC4E5E" w:rsidRDefault="00AC4E5E" w:rsidP="00025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025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8.2.3 Proceso disciplinario.</w:t>
            </w:r>
          </w:p>
        </w:tc>
        <w:tc>
          <w:tcPr>
            <w:tcW w:w="1050" w:type="dxa"/>
          </w:tcPr>
          <w:p w:rsidR="00AC4E5E" w:rsidRDefault="00AC4E5E" w:rsidP="00025DA7">
            <w:pPr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016" w:type="dxa"/>
          </w:tcPr>
          <w:p w:rsidR="00AC4E5E" w:rsidRDefault="00AC4E5E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5DA7" w:rsidRDefault="00025DA7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Está estipulado en las Políticas SIG, el cual es un documento controlo y confidencial.</w:t>
            </w:r>
          </w:p>
          <w:p w:rsidR="00010671" w:rsidRPr="00A62DE9" w:rsidRDefault="00010671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5DA7" w:rsidRDefault="00025DA7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Documentado en el Reglamento Interno de Seguridad y Salud de la Compañía CISEPRO CIA. LTDA.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DA7" w:rsidRPr="00A62DE9" w:rsidTr="00AC0BC6">
        <w:tc>
          <w:tcPr>
            <w:tcW w:w="988" w:type="dxa"/>
            <w:vMerge w:val="restart"/>
          </w:tcPr>
          <w:p w:rsidR="00AC4E5E" w:rsidRDefault="00AC4E5E" w:rsidP="00025DA7">
            <w:pPr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A.8.3</w:t>
            </w:r>
          </w:p>
        </w:tc>
        <w:tc>
          <w:tcPr>
            <w:tcW w:w="1984" w:type="dxa"/>
            <w:vMerge w:val="restart"/>
          </w:tcPr>
          <w:p w:rsidR="00AC4E5E" w:rsidRDefault="00AC4E5E" w:rsidP="00025DA7">
            <w:pPr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Finalización o cambio de empleo</w:t>
            </w:r>
          </w:p>
        </w:tc>
        <w:tc>
          <w:tcPr>
            <w:tcW w:w="2456" w:type="dxa"/>
          </w:tcPr>
          <w:p w:rsidR="00AC4E5E" w:rsidRDefault="00AC4E5E" w:rsidP="00025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025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8.3.1 Responsabilidades ante la finalización.</w:t>
            </w:r>
          </w:p>
        </w:tc>
        <w:tc>
          <w:tcPr>
            <w:tcW w:w="1050" w:type="dxa"/>
          </w:tcPr>
          <w:p w:rsidR="00010671" w:rsidRDefault="00010671" w:rsidP="00025DA7">
            <w:pPr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016" w:type="dxa"/>
          </w:tcPr>
          <w:p w:rsidR="00AC4E5E" w:rsidRDefault="00AC4E5E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11AD3" w:rsidRDefault="00025DA7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Está estipulado en las Políticas SIG, el cual es un documento controlo y </w:t>
            </w:r>
            <w:r w:rsidR="00011AD3" w:rsidRPr="00A62DE9">
              <w:rPr>
                <w:rFonts w:ascii="Arial" w:hAnsi="Arial" w:cs="Arial"/>
                <w:sz w:val="20"/>
                <w:szCs w:val="20"/>
              </w:rPr>
              <w:t>confidencial.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DA7" w:rsidRPr="00A62DE9" w:rsidTr="00AC0BC6">
        <w:tc>
          <w:tcPr>
            <w:tcW w:w="988" w:type="dxa"/>
            <w:vMerge/>
          </w:tcPr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AC4E5E" w:rsidRDefault="00AC4E5E" w:rsidP="00025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025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8.3.2 Devolución de Activos.</w:t>
            </w:r>
          </w:p>
        </w:tc>
        <w:tc>
          <w:tcPr>
            <w:tcW w:w="1050" w:type="dxa"/>
          </w:tcPr>
          <w:p w:rsidR="00AC4E5E" w:rsidRDefault="00AC4E5E" w:rsidP="00025DA7">
            <w:pPr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016" w:type="dxa"/>
          </w:tcPr>
          <w:p w:rsidR="00AC4E5E" w:rsidRDefault="00AC4E5E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Está estipulado en las Políticas SIG, el </w:t>
            </w:r>
            <w:r w:rsidRPr="00A62DE9">
              <w:rPr>
                <w:rFonts w:ascii="Arial" w:hAnsi="Arial" w:cs="Arial"/>
                <w:sz w:val="20"/>
                <w:szCs w:val="20"/>
              </w:rPr>
              <w:lastRenderedPageBreak/>
              <w:t>cual es un documento controlo y confidencial.</w:t>
            </w:r>
          </w:p>
          <w:p w:rsidR="00010671" w:rsidRDefault="00010671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11AD3" w:rsidRDefault="00011AD3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Delegado al Proceso de Operaciones.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DA7" w:rsidRPr="00A62DE9" w:rsidTr="00AC0BC6">
        <w:tc>
          <w:tcPr>
            <w:tcW w:w="988" w:type="dxa"/>
            <w:vMerge/>
          </w:tcPr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AC4E5E" w:rsidRDefault="00AC4E5E" w:rsidP="00025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025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8.3.3 Retirada de los Derechos de Acceso.</w:t>
            </w:r>
          </w:p>
        </w:tc>
        <w:tc>
          <w:tcPr>
            <w:tcW w:w="1050" w:type="dxa"/>
          </w:tcPr>
          <w:p w:rsidR="00AC4E5E" w:rsidRDefault="00AC4E5E" w:rsidP="00025DA7">
            <w:pPr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025DA7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016" w:type="dxa"/>
          </w:tcPr>
          <w:p w:rsidR="00AC4E5E" w:rsidRDefault="00AC4E5E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5DA7" w:rsidRPr="00A62DE9" w:rsidRDefault="00025DA7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Está estipulado en las Políticas SIG, el cual es un documento controlo y confidencial.</w:t>
            </w:r>
          </w:p>
          <w:p w:rsidR="00011AD3" w:rsidRDefault="00011AD3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Delegado al Proceso de Operaciones.</w:t>
            </w:r>
          </w:p>
          <w:p w:rsidR="00800AAC" w:rsidRPr="00A62DE9" w:rsidRDefault="00800AAC" w:rsidP="00A62D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5BC7" w:rsidRPr="00A62DE9" w:rsidTr="00C13830">
        <w:tc>
          <w:tcPr>
            <w:tcW w:w="988" w:type="dxa"/>
            <w:shd w:val="clear" w:color="auto" w:fill="BDD6EE" w:themeFill="accent1" w:themeFillTint="66"/>
          </w:tcPr>
          <w:p w:rsidR="00915624" w:rsidRDefault="00915624" w:rsidP="00025DA7">
            <w:pPr>
              <w:rPr>
                <w:rFonts w:ascii="Arial" w:hAnsi="Arial" w:cs="Arial"/>
                <w:sz w:val="20"/>
                <w:szCs w:val="20"/>
              </w:rPr>
            </w:pPr>
          </w:p>
          <w:p w:rsidR="004A5BC7" w:rsidRPr="00A62DE9" w:rsidRDefault="004A5BC7" w:rsidP="00025DA7">
            <w:pPr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>A.9</w:t>
            </w:r>
          </w:p>
        </w:tc>
        <w:tc>
          <w:tcPr>
            <w:tcW w:w="7506" w:type="dxa"/>
            <w:gridSpan w:val="4"/>
            <w:shd w:val="clear" w:color="auto" w:fill="BDD6EE" w:themeFill="accent1" w:themeFillTint="66"/>
          </w:tcPr>
          <w:p w:rsidR="00915624" w:rsidRDefault="00915624" w:rsidP="004A5B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A5BC7" w:rsidRPr="00A62DE9" w:rsidRDefault="004A5BC7" w:rsidP="004A5B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b/>
                <w:sz w:val="20"/>
                <w:szCs w:val="20"/>
              </w:rPr>
              <w:t>SEGUR</w:t>
            </w:r>
            <w:r w:rsidR="006F3EA0"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b/>
                <w:sz w:val="20"/>
                <w:szCs w:val="20"/>
              </w:rPr>
              <w:t>DAD FÍSICA Y DEL ENTORNO</w:t>
            </w:r>
          </w:p>
        </w:tc>
      </w:tr>
      <w:tr w:rsidR="00736544" w:rsidRPr="00A62DE9" w:rsidTr="00736544">
        <w:trPr>
          <w:trHeight w:val="1277"/>
        </w:trPr>
        <w:tc>
          <w:tcPr>
            <w:tcW w:w="988" w:type="dxa"/>
            <w:vMerge w:val="restart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A.9.1</w:t>
            </w:r>
          </w:p>
        </w:tc>
        <w:tc>
          <w:tcPr>
            <w:tcW w:w="1984" w:type="dxa"/>
            <w:vMerge w:val="restart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Áreas Seguras</w:t>
            </w:r>
          </w:p>
        </w:tc>
        <w:tc>
          <w:tcPr>
            <w:tcW w:w="2456" w:type="dxa"/>
          </w:tcPr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Pr="00736544" w:rsidRDefault="00736544" w:rsidP="007365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36544">
              <w:rPr>
                <w:rFonts w:ascii="Arial" w:hAnsi="Arial" w:cs="Arial"/>
                <w:b/>
                <w:sz w:val="20"/>
                <w:szCs w:val="20"/>
              </w:rPr>
              <w:t>9.1.1 Perímetro de seguridad física.</w:t>
            </w:r>
          </w:p>
        </w:tc>
        <w:tc>
          <w:tcPr>
            <w:tcW w:w="1050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Existen controles físicos en el perímetro de la empresa.</w:t>
            </w:r>
          </w:p>
          <w:p w:rsidR="00800AAC" w:rsidRPr="00A62DE9" w:rsidRDefault="00800AAC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544" w:rsidRPr="00A62DE9" w:rsidTr="00AC0BC6">
        <w:tc>
          <w:tcPr>
            <w:tcW w:w="988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Pr="00736544" w:rsidRDefault="00736544" w:rsidP="007365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36544">
              <w:rPr>
                <w:rFonts w:ascii="Arial" w:hAnsi="Arial" w:cs="Arial"/>
                <w:b/>
                <w:sz w:val="20"/>
                <w:szCs w:val="20"/>
              </w:rPr>
              <w:t>9.1.2 Controles físicos de entrada.</w:t>
            </w:r>
          </w:p>
        </w:tc>
        <w:tc>
          <w:tcPr>
            <w:tcW w:w="1050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Existen controles físicos en el perímetro de la empresa.</w:t>
            </w:r>
          </w:p>
          <w:p w:rsidR="00800AAC" w:rsidRPr="00A62DE9" w:rsidRDefault="00800AAC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544" w:rsidRPr="00A62DE9" w:rsidTr="00AC0BC6">
        <w:tc>
          <w:tcPr>
            <w:tcW w:w="988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Pr="00736544" w:rsidRDefault="00736544" w:rsidP="007365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36544">
              <w:rPr>
                <w:rFonts w:ascii="Arial" w:hAnsi="Arial" w:cs="Arial"/>
                <w:b/>
                <w:sz w:val="20"/>
                <w:szCs w:val="20"/>
              </w:rPr>
              <w:t>9.1.3 Asegurar las oficinas, salas e instalaciones.</w:t>
            </w:r>
          </w:p>
        </w:tc>
        <w:tc>
          <w:tcPr>
            <w:tcW w:w="1050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Existen controles físicos en el perímetro de la empresa.</w:t>
            </w:r>
          </w:p>
          <w:p w:rsidR="00736544" w:rsidRPr="00A62DE9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544" w:rsidRPr="00A62DE9" w:rsidTr="00AC0BC6">
        <w:tc>
          <w:tcPr>
            <w:tcW w:w="988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736544" w:rsidRPr="00736544" w:rsidRDefault="00736544" w:rsidP="007365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36544" w:rsidRPr="00A62DE9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36544">
              <w:rPr>
                <w:rFonts w:ascii="Arial" w:hAnsi="Arial" w:cs="Arial"/>
                <w:b/>
                <w:sz w:val="20"/>
                <w:szCs w:val="20"/>
              </w:rPr>
              <w:t>9.1.4 Protección contra amenazas externas y ambientales.</w:t>
            </w:r>
          </w:p>
        </w:tc>
        <w:tc>
          <w:tcPr>
            <w:tcW w:w="1050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800AAC" w:rsidRDefault="00800AAC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F75DA0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 instalaciones de la Empresa se encuentran aseguradas basados en la normativa vigente del SGI y proporcional a la actividad y tamaño.</w:t>
            </w:r>
          </w:p>
          <w:p w:rsidR="00F75DA0" w:rsidRPr="00A62DE9" w:rsidRDefault="00F75DA0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544" w:rsidRPr="00A62DE9" w:rsidTr="00AC0BC6">
        <w:tc>
          <w:tcPr>
            <w:tcW w:w="988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736544" w:rsidRPr="00F75DA0" w:rsidRDefault="00736544" w:rsidP="007365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36544" w:rsidRPr="00A62DE9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5DA0">
              <w:rPr>
                <w:rFonts w:ascii="Arial" w:hAnsi="Arial" w:cs="Arial"/>
                <w:b/>
                <w:sz w:val="20"/>
                <w:szCs w:val="20"/>
              </w:rPr>
              <w:t>9.1.5 Trabajo en Áreas Seguras.</w:t>
            </w:r>
          </w:p>
        </w:tc>
        <w:tc>
          <w:tcPr>
            <w:tcW w:w="1050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Default="00736544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800AAC" w:rsidRPr="00A62DE9" w:rsidRDefault="00800AAC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544" w:rsidRPr="00A62DE9" w:rsidTr="00AC0BC6">
        <w:tc>
          <w:tcPr>
            <w:tcW w:w="988" w:type="dxa"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Pr="00A62DE9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9.1.6 Áreas de acceso público, de carga y de distribución.</w:t>
            </w:r>
          </w:p>
        </w:tc>
        <w:tc>
          <w:tcPr>
            <w:tcW w:w="1050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F75DA0" w:rsidRPr="00A62DE9" w:rsidRDefault="00F75DA0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016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F75DA0" w:rsidRDefault="00F75DA0" w:rsidP="00F75D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empresa CISEPRO CIA. LTDA se dedica a otras labores diferentes al ámbito de la cláusula.</w:t>
            </w:r>
          </w:p>
          <w:p w:rsidR="00E746D6" w:rsidRPr="00A62DE9" w:rsidRDefault="00E746D6" w:rsidP="00F75D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544" w:rsidRPr="00A62DE9" w:rsidTr="00AC0BC6">
        <w:tc>
          <w:tcPr>
            <w:tcW w:w="988" w:type="dxa"/>
            <w:vMerge w:val="restart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A.9.2</w:t>
            </w:r>
          </w:p>
        </w:tc>
        <w:tc>
          <w:tcPr>
            <w:tcW w:w="1984" w:type="dxa"/>
            <w:vMerge w:val="restart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Seguridad de los Equipos</w:t>
            </w:r>
          </w:p>
        </w:tc>
        <w:tc>
          <w:tcPr>
            <w:tcW w:w="2456" w:type="dxa"/>
          </w:tcPr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Pr="0085386E" w:rsidRDefault="00736544" w:rsidP="007365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5386E">
              <w:rPr>
                <w:rFonts w:ascii="Arial" w:hAnsi="Arial" w:cs="Arial"/>
                <w:b/>
                <w:sz w:val="20"/>
                <w:szCs w:val="20"/>
              </w:rPr>
              <w:t>9.2.1 Emplazamiento y protección de los equipos.</w:t>
            </w:r>
          </w:p>
          <w:p w:rsidR="00736544" w:rsidRPr="00A62DE9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E746D6" w:rsidRPr="00E746D6" w:rsidRDefault="00E746D6" w:rsidP="00736544">
            <w:pPr>
              <w:rPr>
                <w:rFonts w:ascii="Arial" w:hAnsi="Arial" w:cs="Arial"/>
                <w:sz w:val="20"/>
                <w:szCs w:val="20"/>
              </w:rPr>
            </w:pPr>
            <w:r w:rsidRPr="00E746D6"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E746D6" w:rsidRDefault="00E746D6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85386E" w:rsidRDefault="0085386E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386E" w:rsidRDefault="0085386E" w:rsidP="0085386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5386E">
              <w:rPr>
                <w:rFonts w:ascii="Arial" w:hAnsi="Arial" w:cs="Arial"/>
                <w:sz w:val="20"/>
                <w:szCs w:val="20"/>
              </w:rPr>
              <w:t>Procedimiento para Emplazamie</w:t>
            </w:r>
            <w:r>
              <w:rPr>
                <w:rFonts w:ascii="Arial" w:hAnsi="Arial" w:cs="Arial"/>
                <w:sz w:val="20"/>
                <w:szCs w:val="20"/>
              </w:rPr>
              <w:t xml:space="preserve">nto y Protección de los Equipo 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 xml:space="preserve">ISO 27001 apartado </w:t>
            </w:r>
            <w:r w:rsidRPr="0085386E">
              <w:rPr>
                <w:rFonts w:ascii="Arial" w:hAnsi="Arial" w:cs="Arial"/>
                <w:b/>
                <w:sz w:val="20"/>
                <w:szCs w:val="20"/>
              </w:rPr>
              <w:t>3.1.6.1.</w:t>
            </w:r>
          </w:p>
          <w:p w:rsidR="00E746D6" w:rsidRPr="00A62DE9" w:rsidRDefault="00E746D6" w:rsidP="008538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544" w:rsidRPr="00A62DE9" w:rsidTr="00AC0BC6">
        <w:tc>
          <w:tcPr>
            <w:tcW w:w="988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Pr="00E746D6" w:rsidRDefault="00736544" w:rsidP="007365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46D6">
              <w:rPr>
                <w:rFonts w:ascii="Arial" w:hAnsi="Arial" w:cs="Arial"/>
                <w:b/>
                <w:sz w:val="20"/>
                <w:szCs w:val="20"/>
              </w:rPr>
              <w:t>9.2.2 Servicios de soporte.</w:t>
            </w:r>
          </w:p>
        </w:tc>
        <w:tc>
          <w:tcPr>
            <w:tcW w:w="1050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E746D6" w:rsidRPr="00A62DE9" w:rsidRDefault="00E746D6" w:rsidP="00E746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E746D6" w:rsidRDefault="00E746D6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E746D6" w:rsidRDefault="00E746D6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00AAC" w:rsidRDefault="00800AAC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746D6" w:rsidRDefault="00E746D6" w:rsidP="00E746D6">
            <w:pPr>
              <w:jc w:val="both"/>
              <w:rPr>
                <w:color w:val="000000"/>
                <w:szCs w:val="24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Los Servidores cuentan con esquemas </w:t>
            </w:r>
            <w:r w:rsidRPr="00EC0916">
              <w:rPr>
                <w:color w:val="000000"/>
                <w:szCs w:val="24"/>
                <w:lang w:eastAsia="es-ES"/>
              </w:rPr>
              <w:t>alternos para respaldo</w:t>
            </w:r>
            <w:r>
              <w:rPr>
                <w:color w:val="000000"/>
                <w:szCs w:val="24"/>
                <w:lang w:eastAsia="es-ES"/>
              </w:rPr>
              <w:t xml:space="preserve"> de la red eléctrica.</w:t>
            </w:r>
          </w:p>
          <w:p w:rsidR="00E746D6" w:rsidRPr="00A62DE9" w:rsidRDefault="00E746D6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544" w:rsidRPr="00A62DE9" w:rsidTr="00AC0BC6">
        <w:tc>
          <w:tcPr>
            <w:tcW w:w="988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Pr="00E746D6" w:rsidRDefault="00736544" w:rsidP="007365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46D6">
              <w:rPr>
                <w:rFonts w:ascii="Arial" w:hAnsi="Arial" w:cs="Arial"/>
                <w:b/>
                <w:sz w:val="20"/>
                <w:szCs w:val="20"/>
              </w:rPr>
              <w:t>9.2.3 Seguridad del cableado.</w:t>
            </w:r>
          </w:p>
        </w:tc>
        <w:tc>
          <w:tcPr>
            <w:tcW w:w="1050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E746D6" w:rsidRPr="00A62DE9" w:rsidRDefault="00E746D6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E746D6" w:rsidRDefault="00E746D6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 instalaciones cuentan con cableado seguro.</w:t>
            </w:r>
          </w:p>
          <w:p w:rsidR="00E746D6" w:rsidRDefault="00E746D6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746D6" w:rsidRDefault="00E746D6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E746D6" w:rsidRPr="00A62DE9" w:rsidRDefault="00E746D6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544" w:rsidRPr="00A62DE9" w:rsidTr="00AC0BC6">
        <w:tc>
          <w:tcPr>
            <w:tcW w:w="988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Pr="00E746D6" w:rsidRDefault="00736544" w:rsidP="007365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46D6">
              <w:rPr>
                <w:rFonts w:ascii="Arial" w:hAnsi="Arial" w:cs="Arial"/>
                <w:b/>
                <w:sz w:val="20"/>
                <w:szCs w:val="20"/>
              </w:rPr>
              <w:t>9.2.4 Mantenimiento de los Equipos.</w:t>
            </w:r>
          </w:p>
        </w:tc>
        <w:tc>
          <w:tcPr>
            <w:tcW w:w="1050" w:type="dxa"/>
          </w:tcPr>
          <w:p w:rsidR="00E746D6" w:rsidRDefault="00E746D6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736544" w:rsidRPr="00A62DE9" w:rsidRDefault="00E746D6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E746D6" w:rsidRDefault="00E746D6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Default="00E746D6" w:rsidP="00E746D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800AAC" w:rsidRPr="00A62DE9" w:rsidRDefault="00800AAC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544" w:rsidRPr="00A62DE9" w:rsidTr="00AC0BC6">
        <w:tc>
          <w:tcPr>
            <w:tcW w:w="988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Pr="00E746D6" w:rsidRDefault="00736544" w:rsidP="007365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46D6">
              <w:rPr>
                <w:rFonts w:ascii="Arial" w:hAnsi="Arial" w:cs="Arial"/>
                <w:b/>
                <w:sz w:val="20"/>
                <w:szCs w:val="20"/>
              </w:rPr>
              <w:t>9.2.5 Seguridad de los equipos fuera de las instalaciones.</w:t>
            </w:r>
          </w:p>
        </w:tc>
        <w:tc>
          <w:tcPr>
            <w:tcW w:w="1050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E746D6" w:rsidRPr="00A62DE9" w:rsidRDefault="00E746D6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E746D6" w:rsidRDefault="00E746D6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736544" w:rsidRDefault="00E746D6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800AAC" w:rsidRPr="00A62DE9" w:rsidRDefault="00800AAC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544" w:rsidRPr="00A62DE9" w:rsidTr="00AC0BC6">
        <w:tc>
          <w:tcPr>
            <w:tcW w:w="988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Pr="00E746D6" w:rsidRDefault="00736544" w:rsidP="007365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46D6">
              <w:rPr>
                <w:rFonts w:ascii="Arial" w:hAnsi="Arial" w:cs="Arial"/>
                <w:b/>
                <w:sz w:val="20"/>
                <w:szCs w:val="20"/>
              </w:rPr>
              <w:t>9.2.6 Descarte o re-utilización seguros de los equipos.</w:t>
            </w:r>
          </w:p>
        </w:tc>
        <w:tc>
          <w:tcPr>
            <w:tcW w:w="1050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E746D6" w:rsidRPr="00A62DE9" w:rsidRDefault="00E746D6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E746D6" w:rsidRDefault="00E746D6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E746D6" w:rsidRDefault="00E746D6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746D6" w:rsidRDefault="00E746D6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Los Equipos de </w:t>
            </w:r>
            <w:r w:rsidR="00D07E3C">
              <w:rPr>
                <w:rFonts w:ascii="Arial" w:hAnsi="Arial" w:cs="Arial"/>
                <w:sz w:val="20"/>
                <w:szCs w:val="20"/>
              </w:rPr>
              <w:t>Cómputo</w:t>
            </w:r>
            <w:r>
              <w:rPr>
                <w:rFonts w:ascii="Arial" w:hAnsi="Arial" w:cs="Arial"/>
                <w:sz w:val="20"/>
                <w:szCs w:val="20"/>
              </w:rPr>
              <w:t xml:space="preserve"> se </w:t>
            </w:r>
            <w:r w:rsidR="00D07E3C">
              <w:rPr>
                <w:rFonts w:ascii="Arial" w:hAnsi="Arial" w:cs="Arial"/>
                <w:sz w:val="20"/>
                <w:szCs w:val="20"/>
              </w:rPr>
              <w:t>formatean</w:t>
            </w:r>
            <w:r>
              <w:rPr>
                <w:rFonts w:ascii="Arial" w:hAnsi="Arial" w:cs="Arial"/>
                <w:sz w:val="20"/>
                <w:szCs w:val="20"/>
              </w:rPr>
              <w:t xml:space="preserve"> a </w:t>
            </w:r>
            <w:r w:rsidR="00D07E3C">
              <w:rPr>
                <w:rFonts w:ascii="Arial" w:hAnsi="Arial" w:cs="Arial"/>
                <w:sz w:val="20"/>
                <w:szCs w:val="20"/>
              </w:rPr>
              <w:t>bajo nivel para</w:t>
            </w:r>
            <w:r>
              <w:rPr>
                <w:rFonts w:ascii="Arial" w:hAnsi="Arial" w:cs="Arial"/>
                <w:sz w:val="20"/>
                <w:szCs w:val="20"/>
              </w:rPr>
              <w:t xml:space="preserve"> evitar </w:t>
            </w:r>
            <w:r w:rsidR="00D07E3C">
              <w:rPr>
                <w:rFonts w:ascii="Arial" w:hAnsi="Arial" w:cs="Arial"/>
                <w:sz w:val="20"/>
                <w:szCs w:val="20"/>
              </w:rPr>
              <w:t>delitos informáticos.</w:t>
            </w:r>
          </w:p>
          <w:p w:rsidR="00D07E3C" w:rsidRPr="00A62DE9" w:rsidRDefault="00D07E3C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544" w:rsidRPr="00A62DE9" w:rsidTr="00AC0BC6">
        <w:tc>
          <w:tcPr>
            <w:tcW w:w="988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Default="00736544" w:rsidP="007365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46D6">
              <w:rPr>
                <w:rFonts w:ascii="Arial" w:hAnsi="Arial" w:cs="Arial"/>
                <w:b/>
                <w:sz w:val="20"/>
                <w:szCs w:val="20"/>
              </w:rPr>
              <w:t>9.2.7 Extracción de elementos de la propiedad.</w:t>
            </w:r>
          </w:p>
          <w:p w:rsidR="00E746D6" w:rsidRPr="00E746D6" w:rsidRDefault="00E746D6" w:rsidP="007365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E746D6" w:rsidRPr="00A62DE9" w:rsidRDefault="00E746D6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8D0B57" w:rsidRDefault="008D0B57" w:rsidP="008D0B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D0B57">
              <w:rPr>
                <w:rFonts w:ascii="Arial" w:hAnsi="Arial" w:cs="Arial"/>
                <w:sz w:val="20"/>
                <w:szCs w:val="20"/>
              </w:rPr>
              <w:t>No se pueden extraer</w:t>
            </w:r>
            <w:r>
              <w:rPr>
                <w:rFonts w:ascii="Arial" w:hAnsi="Arial" w:cs="Arial"/>
                <w:sz w:val="20"/>
                <w:szCs w:val="20"/>
              </w:rPr>
              <w:t xml:space="preserve"> los equipos fuera de las instalaciones sin disposición de la alta Gerencia.</w:t>
            </w:r>
          </w:p>
          <w:p w:rsidR="008D0B57" w:rsidRPr="008D0B57" w:rsidRDefault="008D0B57" w:rsidP="008D0B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00AAC" w:rsidRDefault="00800AAC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746D6" w:rsidRDefault="00E746D6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D07E3C" w:rsidRPr="00A62DE9" w:rsidRDefault="00D07E3C" w:rsidP="00E746D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544" w:rsidRPr="00A62DE9" w:rsidTr="00C13830">
        <w:tc>
          <w:tcPr>
            <w:tcW w:w="988" w:type="dxa"/>
            <w:shd w:val="clear" w:color="auto" w:fill="BDD6EE" w:themeFill="accent1" w:themeFillTint="66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A.10</w:t>
            </w:r>
          </w:p>
        </w:tc>
        <w:tc>
          <w:tcPr>
            <w:tcW w:w="7506" w:type="dxa"/>
            <w:gridSpan w:val="4"/>
            <w:shd w:val="clear" w:color="auto" w:fill="BDD6EE" w:themeFill="accent1" w:themeFillTint="66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736544" w:rsidRPr="00BC6C66" w:rsidRDefault="00736544" w:rsidP="0073654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6C66">
              <w:rPr>
                <w:rFonts w:ascii="Arial" w:hAnsi="Arial" w:cs="Arial"/>
                <w:b/>
                <w:sz w:val="20"/>
                <w:szCs w:val="20"/>
              </w:rPr>
              <w:t>GESTIÓN DE LAS COMUNICACIONES Y LAS OPERACIONES.</w:t>
            </w:r>
          </w:p>
        </w:tc>
      </w:tr>
      <w:tr w:rsidR="00736544" w:rsidRPr="00A62DE9" w:rsidTr="00AC0BC6">
        <w:tc>
          <w:tcPr>
            <w:tcW w:w="988" w:type="dxa"/>
            <w:vMerge w:val="restart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A.10.1</w:t>
            </w:r>
          </w:p>
        </w:tc>
        <w:tc>
          <w:tcPr>
            <w:tcW w:w="1984" w:type="dxa"/>
            <w:vMerge w:val="restart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Procedimientos operativos y responsabilidades</w:t>
            </w:r>
          </w:p>
        </w:tc>
        <w:tc>
          <w:tcPr>
            <w:tcW w:w="2456" w:type="dxa"/>
          </w:tcPr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36544" w:rsidRPr="00E631DF" w:rsidRDefault="00736544" w:rsidP="007365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631DF">
              <w:rPr>
                <w:rFonts w:ascii="Arial" w:hAnsi="Arial" w:cs="Arial"/>
                <w:b/>
                <w:sz w:val="20"/>
                <w:szCs w:val="20"/>
              </w:rPr>
              <w:t>10.1.1 Procedimientos operativos documentados.</w:t>
            </w:r>
          </w:p>
        </w:tc>
        <w:tc>
          <w:tcPr>
            <w:tcW w:w="1050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Pr="00A62DE9" w:rsidRDefault="00E631DF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544" w:rsidRPr="00A62DE9" w:rsidTr="00AC0BC6">
        <w:tc>
          <w:tcPr>
            <w:tcW w:w="988" w:type="dxa"/>
            <w:vMerge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736544" w:rsidRPr="00E631DF" w:rsidRDefault="00736544" w:rsidP="007365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36544" w:rsidRPr="00E631DF" w:rsidRDefault="00736544" w:rsidP="007365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631DF">
              <w:rPr>
                <w:rFonts w:ascii="Arial" w:hAnsi="Arial" w:cs="Arial"/>
                <w:b/>
                <w:sz w:val="20"/>
                <w:szCs w:val="20"/>
              </w:rPr>
              <w:t>10.1.2 Gestión de cambios.</w:t>
            </w:r>
          </w:p>
          <w:p w:rsidR="00736544" w:rsidRDefault="00736544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Pr="00A62DE9" w:rsidRDefault="00E631DF" w:rsidP="007365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736544" w:rsidRPr="00A62DE9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544" w:rsidRPr="00A62DE9" w:rsidTr="00AC0BC6">
        <w:tc>
          <w:tcPr>
            <w:tcW w:w="988" w:type="dxa"/>
            <w:vMerge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736544" w:rsidRDefault="00736544" w:rsidP="0073654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736544" w:rsidRPr="00E631DF" w:rsidRDefault="00736544" w:rsidP="0073654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631DF">
              <w:rPr>
                <w:rFonts w:ascii="Arial" w:hAnsi="Arial" w:cs="Arial"/>
                <w:b/>
                <w:sz w:val="20"/>
                <w:szCs w:val="20"/>
              </w:rPr>
              <w:t>10.1.3 Separación de tareas.</w:t>
            </w:r>
          </w:p>
          <w:p w:rsidR="00E631DF" w:rsidRDefault="00E631DF" w:rsidP="0073654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736544" w:rsidRDefault="00736544" w:rsidP="00736544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Pr="00E631DF" w:rsidRDefault="00E631DF" w:rsidP="00736544">
            <w:pPr>
              <w:rPr>
                <w:rFonts w:ascii="Arial" w:hAnsi="Arial" w:cs="Arial"/>
                <w:sz w:val="20"/>
                <w:szCs w:val="20"/>
              </w:rPr>
            </w:pPr>
            <w:r w:rsidRPr="00E631DF"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E631DF" w:rsidRPr="00A62DE9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10.1.4 Separación de las instalaciones de desarrollo, prueba y operación.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016" w:type="dxa"/>
          </w:tcPr>
          <w:p w:rsidR="00800AAC" w:rsidRDefault="00800AAC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E631DF">
              <w:rPr>
                <w:rFonts w:ascii="Arial" w:hAnsi="Arial" w:cs="Arial"/>
                <w:sz w:val="20"/>
                <w:szCs w:val="20"/>
              </w:rPr>
              <w:t>a empresa CISEPRO no instaura la separación de los recursos de desarrollo.</w:t>
            </w:r>
          </w:p>
          <w:p w:rsidR="00800AAC" w:rsidRPr="00A62DE9" w:rsidRDefault="00800AAC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A.10.2</w:t>
            </w:r>
          </w:p>
        </w:tc>
        <w:tc>
          <w:tcPr>
            <w:tcW w:w="1984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los servicios suministrados por Terceros.</w:t>
            </w: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10.2.1 Suministro de Servicio.</w:t>
            </w:r>
          </w:p>
        </w:tc>
        <w:tc>
          <w:tcPr>
            <w:tcW w:w="1050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2262AC" w:rsidRPr="00A62DE9" w:rsidRDefault="002262AC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016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2262AC" w:rsidRDefault="002262AC" w:rsidP="002262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</w:t>
            </w:r>
            <w:r w:rsidRPr="00A62DE9">
              <w:rPr>
                <w:rFonts w:ascii="Arial" w:hAnsi="Arial" w:cs="Arial"/>
                <w:sz w:val="20"/>
                <w:szCs w:val="20"/>
              </w:rPr>
              <w:t>, aunque no se considera  porque el coste de implementación de este control supera al beneficio del Plan de Seguridad.</w:t>
            </w:r>
          </w:p>
          <w:p w:rsidR="00800AAC" w:rsidRDefault="00800AAC" w:rsidP="002262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262AC" w:rsidRPr="00A62DE9" w:rsidRDefault="002262AC" w:rsidP="002262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10.2.2 Revisión y monitorización de servicios de terceras partes.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800AAC" w:rsidRDefault="00800AAC" w:rsidP="002262AC">
            <w:pPr>
              <w:rPr>
                <w:rFonts w:ascii="Arial" w:hAnsi="Arial" w:cs="Arial"/>
                <w:sz w:val="20"/>
                <w:szCs w:val="20"/>
              </w:rPr>
            </w:pPr>
          </w:p>
          <w:p w:rsidR="002262AC" w:rsidRPr="00A62DE9" w:rsidRDefault="002262AC" w:rsidP="002262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016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2262AC" w:rsidRDefault="002262AC" w:rsidP="002262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</w:t>
            </w:r>
            <w:r w:rsidRPr="00A62DE9">
              <w:rPr>
                <w:rFonts w:ascii="Arial" w:hAnsi="Arial" w:cs="Arial"/>
                <w:sz w:val="20"/>
                <w:szCs w:val="20"/>
              </w:rPr>
              <w:t>, aunque no se considera  porque el coste de implementación de este control supera al beneficio del Plan de Seguridad.</w:t>
            </w:r>
          </w:p>
          <w:p w:rsidR="002262AC" w:rsidRPr="00A62DE9" w:rsidRDefault="002262AC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10.2.3 Gestión de cambios a los servicios de terceras partes.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2262AC" w:rsidRPr="00A62DE9" w:rsidRDefault="002262AC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016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2262AC" w:rsidRDefault="002262AC" w:rsidP="002262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</w:t>
            </w:r>
            <w:r w:rsidRPr="00A62DE9">
              <w:rPr>
                <w:rFonts w:ascii="Arial" w:hAnsi="Arial" w:cs="Arial"/>
                <w:sz w:val="20"/>
                <w:szCs w:val="20"/>
              </w:rPr>
              <w:t>, aunque no se considera  porque el coste de implementación de este control supera al beneficio del Plan de Seguridad.</w:t>
            </w:r>
          </w:p>
          <w:p w:rsidR="002262AC" w:rsidRPr="00A62DE9" w:rsidRDefault="002262AC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A.10.3</w:t>
            </w:r>
          </w:p>
        </w:tc>
        <w:tc>
          <w:tcPr>
            <w:tcW w:w="1984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Planificación y aceptación del sistema.</w:t>
            </w: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Protección frente o código malicioso y código móvil</w:t>
            </w: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Pr="002262AC" w:rsidRDefault="00E631DF" w:rsidP="00E631D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262AC">
              <w:rPr>
                <w:rFonts w:ascii="Arial" w:hAnsi="Arial" w:cs="Arial"/>
                <w:b/>
                <w:sz w:val="20"/>
                <w:szCs w:val="20"/>
              </w:rPr>
              <w:t>10.3.1 Gestión de capacidad.</w:t>
            </w:r>
          </w:p>
        </w:tc>
        <w:tc>
          <w:tcPr>
            <w:tcW w:w="1050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2262AC" w:rsidRPr="00A62DE9" w:rsidRDefault="002262AC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2262AC" w:rsidRDefault="002262AC" w:rsidP="002262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hace un estudio periódico de las necesidades de cada uno de los procesos de la Empresa CISEPRO y como se los puede mejorar.</w:t>
            </w:r>
          </w:p>
          <w:p w:rsidR="002262AC" w:rsidRDefault="002262AC" w:rsidP="002262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262AC" w:rsidRDefault="002262AC" w:rsidP="002262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2262AC" w:rsidRPr="00A62DE9" w:rsidRDefault="002262AC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Pr="002262AC" w:rsidRDefault="00E631DF" w:rsidP="00E631D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262AC">
              <w:rPr>
                <w:rFonts w:ascii="Arial" w:hAnsi="Arial" w:cs="Arial"/>
                <w:b/>
                <w:sz w:val="20"/>
                <w:szCs w:val="20"/>
              </w:rPr>
              <w:t>10.3.2 Aceptación del sistema</w:t>
            </w:r>
          </w:p>
        </w:tc>
        <w:tc>
          <w:tcPr>
            <w:tcW w:w="1050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2262AC" w:rsidRPr="00A62DE9" w:rsidRDefault="002262AC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2262AC" w:rsidRDefault="002262AC" w:rsidP="002262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Hasta </w:t>
            </w:r>
            <w:r w:rsidR="00800AAC">
              <w:rPr>
                <w:rFonts w:ascii="Arial" w:hAnsi="Arial" w:cs="Arial"/>
                <w:sz w:val="20"/>
                <w:szCs w:val="20"/>
              </w:rPr>
              <w:t xml:space="preserve">la fecha de la elaboración de del plan </w:t>
            </w:r>
            <w:r>
              <w:rPr>
                <w:rFonts w:ascii="Arial" w:hAnsi="Arial" w:cs="Arial"/>
                <w:sz w:val="20"/>
                <w:szCs w:val="20"/>
              </w:rPr>
              <w:t>se lo hace por socialización.</w:t>
            </w:r>
          </w:p>
          <w:p w:rsidR="002262AC" w:rsidRDefault="002262AC" w:rsidP="002262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262AC" w:rsidRDefault="002262AC" w:rsidP="002262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</w:t>
            </w:r>
            <w:r w:rsidRPr="00A62DE9">
              <w:rPr>
                <w:rFonts w:ascii="Arial" w:hAnsi="Arial" w:cs="Arial"/>
                <w:sz w:val="20"/>
                <w:szCs w:val="20"/>
              </w:rPr>
              <w:lastRenderedPageBreak/>
              <w:t xml:space="preserve">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2262AC" w:rsidRPr="00A62DE9" w:rsidRDefault="002262AC" w:rsidP="002262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262AC">
              <w:rPr>
                <w:rFonts w:ascii="Arial" w:hAnsi="Arial" w:cs="Arial"/>
                <w:b/>
                <w:sz w:val="20"/>
                <w:szCs w:val="20"/>
              </w:rPr>
              <w:t>10.4.1 Controles contra código malicioso.</w:t>
            </w:r>
          </w:p>
          <w:p w:rsidR="002262AC" w:rsidRPr="002262AC" w:rsidRDefault="002262AC" w:rsidP="00E631D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2262AC" w:rsidRPr="00A62DE9" w:rsidRDefault="002262AC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Aplicado</w:t>
            </w:r>
          </w:p>
        </w:tc>
        <w:tc>
          <w:tcPr>
            <w:tcW w:w="2016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800AAC" w:rsidRDefault="00800AAC" w:rsidP="00800A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800AAC" w:rsidRDefault="00800AAC" w:rsidP="00800A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00AAC" w:rsidRDefault="00800AAC" w:rsidP="00800A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Procedimiento para la instalación de software antivirus 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3.1.7</w:t>
            </w:r>
            <w:r>
              <w:rPr>
                <w:rFonts w:ascii="Arial" w:hAnsi="Arial" w:cs="Arial"/>
                <w:b/>
                <w:sz w:val="20"/>
                <w:szCs w:val="20"/>
              </w:rPr>
              <w:t>.1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800AAC" w:rsidRDefault="00800AAC" w:rsidP="00800A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00AAC" w:rsidRDefault="00800AAC" w:rsidP="00800A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Procedimiento para la instalación de anti  malware 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3.1.7</w:t>
            </w:r>
            <w:r>
              <w:rPr>
                <w:rFonts w:ascii="Arial" w:hAnsi="Arial" w:cs="Arial"/>
                <w:b/>
                <w:sz w:val="20"/>
                <w:szCs w:val="20"/>
              </w:rPr>
              <w:t>.2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2C6DB2" w:rsidRPr="00A62DE9" w:rsidRDefault="002C6DB2" w:rsidP="00800A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Pr="00565D45" w:rsidRDefault="00E631DF" w:rsidP="00E631D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65D45">
              <w:rPr>
                <w:rFonts w:ascii="Arial" w:hAnsi="Arial" w:cs="Arial"/>
                <w:b/>
                <w:sz w:val="20"/>
                <w:szCs w:val="20"/>
              </w:rPr>
              <w:t>10.4.2 Controles contra código móvil.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565D45" w:rsidRDefault="00565D45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565D45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Aplicado</w:t>
            </w:r>
          </w:p>
          <w:p w:rsidR="00565D45" w:rsidRPr="00A62DE9" w:rsidRDefault="00565D45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565D45" w:rsidRDefault="00565D45" w:rsidP="00565D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2DE9">
              <w:rPr>
                <w:rFonts w:ascii="Arial" w:hAnsi="Arial" w:cs="Arial"/>
                <w:sz w:val="20"/>
                <w:szCs w:val="20"/>
              </w:rPr>
              <w:t xml:space="preserve">Manual de Políticas, Procedimientos del SGSI en la implementación de la Norma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62DE9">
              <w:rPr>
                <w:rFonts w:ascii="Arial" w:hAnsi="Arial" w:cs="Arial"/>
                <w:sz w:val="20"/>
                <w:szCs w:val="20"/>
              </w:rPr>
              <w:t xml:space="preserve">SO 27001 apartado </w:t>
            </w:r>
            <w:r w:rsidRPr="00800AAC">
              <w:rPr>
                <w:rFonts w:ascii="Arial" w:hAnsi="Arial" w:cs="Arial"/>
                <w:b/>
                <w:sz w:val="20"/>
                <w:szCs w:val="20"/>
              </w:rPr>
              <w:t>3.1.2.</w:t>
            </w:r>
          </w:p>
          <w:p w:rsidR="00565D45" w:rsidRPr="00A62DE9" w:rsidRDefault="00565D45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A.10.5</w:t>
            </w:r>
          </w:p>
        </w:tc>
        <w:tc>
          <w:tcPr>
            <w:tcW w:w="1984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Copias de Seguridad</w:t>
            </w: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sz w:val="20"/>
                <w:szCs w:val="20"/>
              </w:rPr>
              <w:t>10.5.1 Respaldo de la Información.</w:t>
            </w:r>
            <w:bookmarkEnd w:id="0"/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565D45" w:rsidRPr="00A62DE9" w:rsidRDefault="00565D45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A.10.6</w:t>
            </w:r>
          </w:p>
        </w:tc>
        <w:tc>
          <w:tcPr>
            <w:tcW w:w="1984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la seguridad de la red</w:t>
            </w: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10.6.1 Controles de red.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10.6.2 Servicios de seguridad de redes.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A.10.7</w:t>
            </w:r>
          </w:p>
        </w:tc>
        <w:tc>
          <w:tcPr>
            <w:tcW w:w="1984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soportes</w:t>
            </w: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10.7.1 Gestión de soportes removibles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10.7.2 Descarte de medios de almacenamiento de la información.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10.7.3 Procedimiento de tratamiento de la información.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10.7.4 Seguridad de la documentación del sistema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A.10.8</w:t>
            </w:r>
          </w:p>
        </w:tc>
        <w:tc>
          <w:tcPr>
            <w:tcW w:w="1984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Intercambio de información</w:t>
            </w: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10.8.1 Políticas y procedimientos de intercambio de información.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10.8.2 Acuerdos de intercambio.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10.8.3 Soporte físico en tránsito.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10.8.4 Mensajería electrónica.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10.8.5 Sistemas de información de negocio.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A.10.9</w:t>
            </w:r>
          </w:p>
        </w:tc>
        <w:tc>
          <w:tcPr>
            <w:tcW w:w="1984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de comercio electrónico.</w:t>
            </w: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10.9.1 Comercio electrónico.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10.9.2 Transacciones en línea.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10.9.3 Información pública disponible.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A.10.10</w:t>
            </w:r>
          </w:p>
        </w:tc>
        <w:tc>
          <w:tcPr>
            <w:tcW w:w="1984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Seguimiento</w:t>
            </w: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10.10.1 Registro de Auditoria.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10.10.2 Uso del sistema de monitorización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10.10.3 Protección de la información de log.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10.10.4 Log’s del operador y del administrador.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10.10.5 Registro de fallos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10.10.6 Sincronización horaria.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shd w:val="clear" w:color="auto" w:fill="BDD6EE" w:themeFill="accent1" w:themeFillTint="66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A.11</w:t>
            </w:r>
          </w:p>
        </w:tc>
        <w:tc>
          <w:tcPr>
            <w:tcW w:w="7506" w:type="dxa"/>
            <w:gridSpan w:val="4"/>
            <w:shd w:val="clear" w:color="auto" w:fill="BDD6EE" w:themeFill="accent1" w:themeFillTint="66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Pr="00AC0BC6" w:rsidRDefault="00E631DF" w:rsidP="00E631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C0BC6">
              <w:rPr>
                <w:rFonts w:ascii="Arial" w:hAnsi="Arial" w:cs="Arial"/>
                <w:b/>
                <w:sz w:val="20"/>
                <w:szCs w:val="20"/>
              </w:rPr>
              <w:t>CONTROL DE ACCESOS</w:t>
            </w: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A.11.1</w:t>
            </w:r>
          </w:p>
        </w:tc>
        <w:tc>
          <w:tcPr>
            <w:tcW w:w="1984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Requisitos del negocio para el de acceso</w:t>
            </w: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11.1.1 Política de acceso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A.11.2</w:t>
            </w:r>
          </w:p>
        </w:tc>
        <w:tc>
          <w:tcPr>
            <w:tcW w:w="1984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accesos de los usuarios</w:t>
            </w: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11.2.1 Registro de usuarios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11.2.2 Gestión de privilegios.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11.2.3 Gestión de contraseñas.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11.2.4 Revisión de derechos de usuario.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A.11.3</w:t>
            </w:r>
          </w:p>
        </w:tc>
        <w:tc>
          <w:tcPr>
            <w:tcW w:w="1984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Responsabilidades del usuario</w:t>
            </w: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11.3.1 uso de contraseñas.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11.3.2 Equipamiento desatendido por el usuario.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11.3.3 Políticas de mesas y pantallas limpias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A.11.4</w:t>
            </w:r>
          </w:p>
        </w:tc>
        <w:tc>
          <w:tcPr>
            <w:tcW w:w="1984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acceso a la red</w:t>
            </w: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11.4.1 Política de uso de servicios de red.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11.4.2 Autenticación de usuarios para conexiones externas.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11.4.3 Identificación de equipos en las redes.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11.4.4 Protección del puerto remoto.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11.4.5 Segmentación de redes.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11.4.6 Control de conexión.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11.4.7 Control de encaminamiento de redes.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A.11.5</w:t>
            </w:r>
          </w:p>
        </w:tc>
        <w:tc>
          <w:tcPr>
            <w:tcW w:w="1984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acceso a los sistemas en operación.</w:t>
            </w: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11.5.1 Procedimiento seguro de entrada a los sistemas de información.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11.5.2 Identificación y autenticación de usuarios.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11.5.3 Sistemas de gestión de contraseñas.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11.5.4 Uso de utilidades del sistema.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11.5.5 Finalización del tiempo de sesión.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11.5.6 Limitación en el tiempo de conexión.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A.11.6</w:t>
            </w:r>
          </w:p>
        </w:tc>
        <w:tc>
          <w:tcPr>
            <w:tcW w:w="1984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acceso a las aplicaciones y la información.</w:t>
            </w: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11.6.1 Restricciones de acceso a la información.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11.6.2 Aislamiento de sistemas sensibles.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A.11.7</w:t>
            </w:r>
          </w:p>
        </w:tc>
        <w:tc>
          <w:tcPr>
            <w:tcW w:w="1984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Informática móvil y teletrabajo</w:t>
            </w: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11.7.1 Comunicaciones e informática móvil.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11.7.2 Teletrabajo.</w:t>
            </w:r>
          </w:p>
        </w:tc>
        <w:tc>
          <w:tcPr>
            <w:tcW w:w="1050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607222">
        <w:tc>
          <w:tcPr>
            <w:tcW w:w="988" w:type="dxa"/>
            <w:shd w:val="clear" w:color="auto" w:fill="BDD6EE" w:themeFill="accent1" w:themeFillTint="66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A.12</w:t>
            </w:r>
          </w:p>
        </w:tc>
        <w:tc>
          <w:tcPr>
            <w:tcW w:w="7506" w:type="dxa"/>
            <w:gridSpan w:val="4"/>
            <w:shd w:val="clear" w:color="auto" w:fill="BDD6EE" w:themeFill="accent1" w:themeFillTint="66"/>
          </w:tcPr>
          <w:p w:rsidR="00E631DF" w:rsidRDefault="00E631DF" w:rsidP="00E631DF"/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t>ADQUISICIÓN, DESARROLLO Y MANTENIMIENTO DE SISTEMAS DE INFORMACIÓN.</w:t>
            </w: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A.12.1</w:t>
            </w:r>
          </w:p>
        </w:tc>
        <w:tc>
          <w:tcPr>
            <w:tcW w:w="1984" w:type="dxa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t>Requisitos de seguridad de los sistemas de información</w:t>
            </w:r>
          </w:p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12.1.1 Análisis y especificación de los requisitos de seguridad.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 w:val="restart"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A.12.2</w:t>
            </w:r>
          </w:p>
        </w:tc>
        <w:tc>
          <w:tcPr>
            <w:tcW w:w="1984" w:type="dxa"/>
            <w:vMerge w:val="restart"/>
          </w:tcPr>
          <w:p w:rsidR="00E631DF" w:rsidRDefault="00E631DF" w:rsidP="00E631DF"/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t>Tratamiento correcto de las aplicaciones.</w:t>
            </w: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r>
              <w:t>12.2.1 Validación de los datos de entrada.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t>12.2.2 Control del procesamiento interno.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r>
              <w:t>12.2.3 Integridad de los mensajes.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12.2.4 Validación de los datos de salida.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 w:val="restart"/>
          </w:tcPr>
          <w:p w:rsidR="00E631DF" w:rsidRDefault="00E631DF" w:rsidP="00E631DF"/>
          <w:p w:rsidR="00E631DF" w:rsidRDefault="00E631DF" w:rsidP="00E631DF">
            <w:r>
              <w:t xml:space="preserve">A.12.3 </w:t>
            </w: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</w:tcPr>
          <w:p w:rsidR="00E631DF" w:rsidRDefault="00E631DF" w:rsidP="00E631DF"/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t>Controles criptográficos.</w:t>
            </w:r>
          </w:p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12.3.1 Política de uso de los controles criptográficos.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12.3.2 Gestión de claves.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 w:val="restart"/>
          </w:tcPr>
          <w:p w:rsidR="00E631DF" w:rsidRDefault="00E631DF" w:rsidP="00E631DF"/>
          <w:p w:rsidR="00E631DF" w:rsidRDefault="00E631DF" w:rsidP="00E631DF">
            <w:r>
              <w:t xml:space="preserve">A.12.4 </w:t>
            </w: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</w:tcPr>
          <w:p w:rsidR="00E631DF" w:rsidRDefault="00E631DF" w:rsidP="00E631DF"/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lastRenderedPageBreak/>
              <w:t>Seguridad de los archivos de sistema.</w:t>
            </w:r>
          </w:p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12.4.1 Control del software en explotación.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12.4.2 Protección de los datos de prueba del sistema.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12.4.3 Control de acceso al código fuente de los programas.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 w:val="restart"/>
          </w:tcPr>
          <w:p w:rsidR="00E631DF" w:rsidRDefault="00E631DF" w:rsidP="00E631DF"/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t>A.12.5</w:t>
            </w:r>
          </w:p>
        </w:tc>
        <w:tc>
          <w:tcPr>
            <w:tcW w:w="1984" w:type="dxa"/>
            <w:vMerge w:val="restart"/>
          </w:tcPr>
          <w:p w:rsidR="00E631DF" w:rsidRDefault="00E631DF" w:rsidP="00E631DF"/>
          <w:p w:rsidR="00E631DF" w:rsidRDefault="00E631DF" w:rsidP="00E631DF">
            <w:r>
              <w:t>Seguridad en los procesos de desarrollo y soporte.</w:t>
            </w: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r>
              <w:t>12.5.1 Procedimientos de control de cambios.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12.5.2 Revisión técnica de las aplicaciones tras efectuar cambios en el sistema operativo.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r>
              <w:t>12.5.3 Restricciones a los cambios en los paquetes de software.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r>
              <w:t>12.5.4 Fugas de información.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631DF" w:rsidRDefault="00E631DF" w:rsidP="00E631DF">
            <w:r>
              <w:t>12.5.5 Externalización del desarrollo de software.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/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t>A.12.6</w:t>
            </w:r>
          </w:p>
        </w:tc>
        <w:tc>
          <w:tcPr>
            <w:tcW w:w="1984" w:type="dxa"/>
          </w:tcPr>
          <w:p w:rsidR="00E631DF" w:rsidRDefault="00E631DF" w:rsidP="00E631DF"/>
          <w:p w:rsidR="00E631DF" w:rsidRDefault="00E631DF" w:rsidP="00E631DF">
            <w:r>
              <w:t>Gestión de la vulnerabilidad técnica.</w:t>
            </w:r>
          </w:p>
          <w:p w:rsidR="00E631DF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12.6.1 Control de las vulnerabilidades técnicas.</w:t>
            </w:r>
          </w:p>
          <w:p w:rsidR="00E631DF" w:rsidRDefault="00E631DF" w:rsidP="00E631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EC6A27">
        <w:tc>
          <w:tcPr>
            <w:tcW w:w="988" w:type="dxa"/>
            <w:shd w:val="clear" w:color="auto" w:fill="BDD6EE" w:themeFill="accent1" w:themeFillTint="66"/>
          </w:tcPr>
          <w:p w:rsidR="00E631DF" w:rsidRDefault="00E631DF" w:rsidP="00E631DF"/>
          <w:p w:rsidR="00E631DF" w:rsidRDefault="00E631DF" w:rsidP="00E631DF">
            <w:r>
              <w:t>A.13</w:t>
            </w:r>
          </w:p>
        </w:tc>
        <w:tc>
          <w:tcPr>
            <w:tcW w:w="7506" w:type="dxa"/>
            <w:gridSpan w:val="4"/>
            <w:shd w:val="clear" w:color="auto" w:fill="BDD6EE" w:themeFill="accent1" w:themeFillTint="66"/>
          </w:tcPr>
          <w:p w:rsidR="00E631DF" w:rsidRDefault="00E631DF" w:rsidP="00E631DF"/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  <w:r>
              <w:t>GESTIÓN DE INCIDENTES EN LA SEGURIDAD DE LA INFORMACIÓN.</w:t>
            </w:r>
          </w:p>
        </w:tc>
      </w:tr>
      <w:tr w:rsidR="00E631DF" w:rsidRPr="00A62DE9" w:rsidTr="00AC0BC6">
        <w:tc>
          <w:tcPr>
            <w:tcW w:w="988" w:type="dxa"/>
            <w:vMerge w:val="restart"/>
          </w:tcPr>
          <w:p w:rsidR="00E631DF" w:rsidRDefault="00E631DF" w:rsidP="00E631DF"/>
          <w:p w:rsidR="00E631DF" w:rsidRDefault="00E631DF" w:rsidP="00E631DF">
            <w:r>
              <w:t xml:space="preserve">A.13.1 </w:t>
            </w:r>
          </w:p>
          <w:p w:rsidR="00E631DF" w:rsidRDefault="00E631DF" w:rsidP="00E631DF"/>
        </w:tc>
        <w:tc>
          <w:tcPr>
            <w:tcW w:w="1984" w:type="dxa"/>
            <w:vMerge w:val="restart"/>
          </w:tcPr>
          <w:p w:rsidR="00E631DF" w:rsidRDefault="00E631DF" w:rsidP="00E631DF"/>
          <w:p w:rsidR="00E631DF" w:rsidRDefault="00E631DF" w:rsidP="00E631DF">
            <w:r>
              <w:t>Notificación de eventos y puntos débiles de seguridad de la información.</w:t>
            </w:r>
          </w:p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13.1.1 Notificación de los eventos de seguridad de la información.</w:t>
            </w:r>
          </w:p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/>
        </w:tc>
        <w:tc>
          <w:tcPr>
            <w:tcW w:w="1984" w:type="dxa"/>
            <w:vMerge/>
          </w:tcPr>
          <w:p w:rsidR="00E631DF" w:rsidRDefault="00E631DF" w:rsidP="00E631DF"/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13.1.2 Notificación de puntos débiles de seguridad.</w:t>
            </w:r>
          </w:p>
          <w:p w:rsidR="00E631DF" w:rsidRDefault="00E631DF" w:rsidP="00E631DF"/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/>
          <w:p w:rsidR="00E631DF" w:rsidRDefault="00E631DF" w:rsidP="00E631DF">
            <w:r>
              <w:t xml:space="preserve">A.13.2 </w:t>
            </w:r>
          </w:p>
          <w:p w:rsidR="00E631DF" w:rsidRDefault="00E631DF" w:rsidP="00E631DF"/>
        </w:tc>
        <w:tc>
          <w:tcPr>
            <w:tcW w:w="1984" w:type="dxa"/>
          </w:tcPr>
          <w:p w:rsidR="00E631DF" w:rsidRDefault="00E631DF" w:rsidP="00E631DF"/>
          <w:p w:rsidR="00E631DF" w:rsidRDefault="00E631DF" w:rsidP="00E631DF">
            <w:r>
              <w:t>Gestión de incidentes y mejoras de seguridad de la información.</w:t>
            </w:r>
          </w:p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13.2.1 Responsabilidades y procedimientos.</w:t>
            </w:r>
          </w:p>
          <w:p w:rsidR="00E631DF" w:rsidRDefault="00E631DF" w:rsidP="00E631DF"/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/>
        </w:tc>
        <w:tc>
          <w:tcPr>
            <w:tcW w:w="1984" w:type="dxa"/>
          </w:tcPr>
          <w:p w:rsidR="00E631DF" w:rsidRDefault="00E631DF" w:rsidP="00E631DF"/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13.2.2 Aprendizaje de los incidentes de seguridad de la información.</w:t>
            </w:r>
          </w:p>
          <w:p w:rsidR="00E631DF" w:rsidRDefault="00E631DF" w:rsidP="00E631DF"/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/>
        </w:tc>
        <w:tc>
          <w:tcPr>
            <w:tcW w:w="1984" w:type="dxa"/>
          </w:tcPr>
          <w:p w:rsidR="00E631DF" w:rsidRDefault="00E631DF" w:rsidP="00E631DF"/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13.2.3 Recopilación de evidencias.</w:t>
            </w:r>
          </w:p>
          <w:p w:rsidR="00E631DF" w:rsidRDefault="00E631DF" w:rsidP="00E631DF"/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EC6A27">
        <w:tc>
          <w:tcPr>
            <w:tcW w:w="988" w:type="dxa"/>
            <w:shd w:val="clear" w:color="auto" w:fill="BDD6EE" w:themeFill="accent1" w:themeFillTint="66"/>
          </w:tcPr>
          <w:p w:rsidR="00E631DF" w:rsidRDefault="00E631DF" w:rsidP="00E631DF"/>
          <w:p w:rsidR="00E631DF" w:rsidRDefault="00E631DF" w:rsidP="00E631DF">
            <w:r>
              <w:t>A.14</w:t>
            </w:r>
          </w:p>
        </w:tc>
        <w:tc>
          <w:tcPr>
            <w:tcW w:w="7506" w:type="dxa"/>
            <w:gridSpan w:val="4"/>
            <w:shd w:val="clear" w:color="auto" w:fill="BDD6EE" w:themeFill="accent1" w:themeFillTint="66"/>
          </w:tcPr>
          <w:p w:rsidR="00E631DF" w:rsidRDefault="00E631DF" w:rsidP="00E631DF">
            <w:pPr>
              <w:jc w:val="center"/>
            </w:pPr>
          </w:p>
          <w:p w:rsidR="00E631DF" w:rsidRPr="00A62DE9" w:rsidRDefault="00E631DF" w:rsidP="00E6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GESTIÓN DE LA CONTINUIDAD DEL NEGOCIO</w:t>
            </w: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/>
          <w:p w:rsidR="00E631DF" w:rsidRDefault="00E631DF" w:rsidP="00E631DF">
            <w:r>
              <w:t xml:space="preserve">14.1 </w:t>
            </w:r>
          </w:p>
          <w:p w:rsidR="00E631DF" w:rsidRDefault="00E631DF" w:rsidP="00E631DF"/>
        </w:tc>
        <w:tc>
          <w:tcPr>
            <w:tcW w:w="1984" w:type="dxa"/>
          </w:tcPr>
          <w:p w:rsidR="00E631DF" w:rsidRDefault="00E631DF" w:rsidP="00E631DF"/>
          <w:p w:rsidR="00E631DF" w:rsidRDefault="00E631DF" w:rsidP="00E631DF">
            <w:r>
              <w:t>Aspectos de seguridad de la información en la gestión de la continuidad del negocio.</w:t>
            </w:r>
          </w:p>
          <w:p w:rsidR="00E631DF" w:rsidRDefault="00E631DF" w:rsidP="00E631DF"/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14.1.1 Inclusión de la seguridad de la información en el proceso de gestión de la continuidad del negocio.</w:t>
            </w:r>
          </w:p>
          <w:p w:rsidR="00E631DF" w:rsidRDefault="00E631DF" w:rsidP="00E631DF"/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/>
        </w:tc>
        <w:tc>
          <w:tcPr>
            <w:tcW w:w="1984" w:type="dxa"/>
          </w:tcPr>
          <w:p w:rsidR="00E631DF" w:rsidRDefault="00E631DF" w:rsidP="00E631DF"/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14.1.2 Continuidad del negocio y evaluación de riesgos.</w:t>
            </w:r>
          </w:p>
          <w:p w:rsidR="00E631DF" w:rsidRDefault="00E631DF" w:rsidP="00E631DF"/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/>
        </w:tc>
        <w:tc>
          <w:tcPr>
            <w:tcW w:w="1984" w:type="dxa"/>
          </w:tcPr>
          <w:p w:rsidR="00E631DF" w:rsidRDefault="00E631DF" w:rsidP="00E631DF"/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14.1.3 Desarrollo e implantación de planes de continuidad que incluyan la seguridad de la información.</w:t>
            </w:r>
          </w:p>
          <w:p w:rsidR="00E631DF" w:rsidRDefault="00E631DF" w:rsidP="00E631DF"/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/>
        </w:tc>
        <w:tc>
          <w:tcPr>
            <w:tcW w:w="1984" w:type="dxa"/>
          </w:tcPr>
          <w:p w:rsidR="00E631DF" w:rsidRDefault="00E631DF" w:rsidP="00E631DF"/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14.1.4 Marco de referencia para la planificación de la continuidad del negocio.</w:t>
            </w:r>
          </w:p>
          <w:p w:rsidR="00E631DF" w:rsidRDefault="00E631DF" w:rsidP="00E631DF"/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/>
        </w:tc>
        <w:tc>
          <w:tcPr>
            <w:tcW w:w="1984" w:type="dxa"/>
          </w:tcPr>
          <w:p w:rsidR="00E631DF" w:rsidRDefault="00E631DF" w:rsidP="00E631DF"/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14.1.5 Pruebas, mantenimiento y reevaluación de planes de continuidad.</w:t>
            </w:r>
          </w:p>
          <w:p w:rsidR="00E631DF" w:rsidRDefault="00E631DF" w:rsidP="00E631DF"/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EC6A27">
        <w:tc>
          <w:tcPr>
            <w:tcW w:w="988" w:type="dxa"/>
            <w:shd w:val="clear" w:color="auto" w:fill="BDD6EE" w:themeFill="accent1" w:themeFillTint="66"/>
          </w:tcPr>
          <w:p w:rsidR="00E631DF" w:rsidRDefault="00E631DF" w:rsidP="00E631DF"/>
          <w:p w:rsidR="00E631DF" w:rsidRDefault="00E631DF" w:rsidP="00E631DF">
            <w:r>
              <w:t>A15</w:t>
            </w:r>
          </w:p>
        </w:tc>
        <w:tc>
          <w:tcPr>
            <w:tcW w:w="7506" w:type="dxa"/>
            <w:gridSpan w:val="4"/>
            <w:shd w:val="clear" w:color="auto" w:fill="BDD6EE" w:themeFill="accent1" w:themeFillTint="66"/>
          </w:tcPr>
          <w:p w:rsidR="00E631DF" w:rsidRDefault="00E631DF" w:rsidP="00E631DF">
            <w:pPr>
              <w:jc w:val="center"/>
            </w:pPr>
          </w:p>
          <w:p w:rsidR="00E631DF" w:rsidRPr="00A62DE9" w:rsidRDefault="00E631DF" w:rsidP="00E6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CUMPLIMIENTO</w:t>
            </w:r>
          </w:p>
        </w:tc>
      </w:tr>
      <w:tr w:rsidR="00E631DF" w:rsidRPr="00A62DE9" w:rsidTr="00AC0BC6">
        <w:tc>
          <w:tcPr>
            <w:tcW w:w="988" w:type="dxa"/>
            <w:vMerge w:val="restart"/>
          </w:tcPr>
          <w:p w:rsidR="00E631DF" w:rsidRDefault="00E631DF" w:rsidP="00E631DF"/>
          <w:p w:rsidR="00E631DF" w:rsidRDefault="00E631DF" w:rsidP="00E631DF">
            <w:r>
              <w:t xml:space="preserve">A.15.1 </w:t>
            </w:r>
          </w:p>
          <w:p w:rsidR="00E631DF" w:rsidRDefault="00E631DF" w:rsidP="00E631DF"/>
        </w:tc>
        <w:tc>
          <w:tcPr>
            <w:tcW w:w="1984" w:type="dxa"/>
            <w:vMerge w:val="restart"/>
          </w:tcPr>
          <w:p w:rsidR="00E631DF" w:rsidRDefault="00E631DF" w:rsidP="00E631DF"/>
          <w:p w:rsidR="00E631DF" w:rsidRDefault="00E631DF" w:rsidP="00E631DF">
            <w:r>
              <w:t>Cumplimiento de los requisitos legales.</w:t>
            </w:r>
          </w:p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15.1.1 Identificación de la legislación aplicable.</w:t>
            </w:r>
          </w:p>
          <w:p w:rsidR="00E631DF" w:rsidRDefault="00E631DF" w:rsidP="00E631DF"/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/>
        </w:tc>
        <w:tc>
          <w:tcPr>
            <w:tcW w:w="1984" w:type="dxa"/>
            <w:vMerge/>
          </w:tcPr>
          <w:p w:rsidR="00E631DF" w:rsidRDefault="00E631DF" w:rsidP="00E631DF"/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15.1.2 Derechos de propiedad intelectual (DPI).</w:t>
            </w:r>
          </w:p>
          <w:p w:rsidR="00E631DF" w:rsidRDefault="00E631DF" w:rsidP="00E631DF"/>
          <w:p w:rsidR="00E631DF" w:rsidRDefault="00E631DF" w:rsidP="00E631DF">
            <w:r>
              <w:t>15.1.3 Protección de los documentos de la organización.</w:t>
            </w:r>
          </w:p>
          <w:p w:rsidR="00E631DF" w:rsidRDefault="00E631DF" w:rsidP="00E631DF"/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/>
        </w:tc>
        <w:tc>
          <w:tcPr>
            <w:tcW w:w="1984" w:type="dxa"/>
            <w:vMerge/>
          </w:tcPr>
          <w:p w:rsidR="00E631DF" w:rsidRDefault="00E631DF" w:rsidP="00E631DF"/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15.1.4 Protección de datos y privacidad de la información de carácter personal.</w:t>
            </w:r>
          </w:p>
          <w:p w:rsidR="00E631DF" w:rsidRDefault="00E631DF" w:rsidP="00E631DF"/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/>
        </w:tc>
        <w:tc>
          <w:tcPr>
            <w:tcW w:w="1984" w:type="dxa"/>
            <w:vMerge/>
          </w:tcPr>
          <w:p w:rsidR="00E631DF" w:rsidRDefault="00E631DF" w:rsidP="00E631DF"/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15.1.5 Prevención del uso indebido de recursos de tratamiento de la información.</w:t>
            </w:r>
          </w:p>
          <w:p w:rsidR="00E631DF" w:rsidRDefault="00E631DF" w:rsidP="00E631DF"/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  <w:vMerge/>
          </w:tcPr>
          <w:p w:rsidR="00E631DF" w:rsidRDefault="00E631DF" w:rsidP="00E631DF"/>
        </w:tc>
        <w:tc>
          <w:tcPr>
            <w:tcW w:w="1984" w:type="dxa"/>
            <w:vMerge/>
          </w:tcPr>
          <w:p w:rsidR="00E631DF" w:rsidRDefault="00E631DF" w:rsidP="00E631DF"/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15.1.6 Regulación de los controles criptográficos.</w:t>
            </w:r>
          </w:p>
          <w:p w:rsidR="00E631DF" w:rsidRDefault="00E631DF" w:rsidP="00E631DF"/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/>
          <w:p w:rsidR="00E631DF" w:rsidRDefault="00E631DF" w:rsidP="00E631DF">
            <w:r>
              <w:t xml:space="preserve">A.15.2 </w:t>
            </w:r>
          </w:p>
          <w:p w:rsidR="00E631DF" w:rsidRDefault="00E631DF" w:rsidP="00E631DF"/>
        </w:tc>
        <w:tc>
          <w:tcPr>
            <w:tcW w:w="1984" w:type="dxa"/>
          </w:tcPr>
          <w:p w:rsidR="00E631DF" w:rsidRDefault="00E631DF" w:rsidP="00E631DF"/>
          <w:p w:rsidR="00E631DF" w:rsidRDefault="00E631DF" w:rsidP="00E631DF">
            <w:r>
              <w:t>Cumplimiento de las políticas y normas de seguridad y cumplimiento técnico.</w:t>
            </w:r>
          </w:p>
          <w:p w:rsidR="00E631DF" w:rsidRDefault="00E631DF" w:rsidP="00E631DF"/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15.2.1 Cumplimiento de las políticas y normas de seguridad.</w:t>
            </w:r>
          </w:p>
          <w:p w:rsidR="00E631DF" w:rsidRDefault="00E631DF" w:rsidP="00E631DF"/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/>
        </w:tc>
        <w:tc>
          <w:tcPr>
            <w:tcW w:w="1984" w:type="dxa"/>
          </w:tcPr>
          <w:p w:rsidR="00E631DF" w:rsidRDefault="00E631DF" w:rsidP="00E631DF"/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15.2.2 Comprobación del cumplimiento técnico.</w:t>
            </w:r>
          </w:p>
          <w:p w:rsidR="00E631DF" w:rsidRDefault="00E631DF" w:rsidP="00E631DF"/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/>
          <w:p w:rsidR="00E631DF" w:rsidRDefault="00E631DF" w:rsidP="00E631DF">
            <w:r>
              <w:t xml:space="preserve">A.15.3 </w:t>
            </w:r>
          </w:p>
          <w:p w:rsidR="00E631DF" w:rsidRDefault="00E631DF" w:rsidP="00E631DF"/>
        </w:tc>
        <w:tc>
          <w:tcPr>
            <w:tcW w:w="1984" w:type="dxa"/>
          </w:tcPr>
          <w:p w:rsidR="00E631DF" w:rsidRDefault="00E631DF" w:rsidP="00E631DF"/>
          <w:p w:rsidR="00E631DF" w:rsidRDefault="00E631DF" w:rsidP="00E631DF">
            <w:r>
              <w:t xml:space="preserve">Consideraciones sobre las auditorías </w:t>
            </w:r>
            <w:r>
              <w:lastRenderedPageBreak/>
              <w:t>de los sistemas de información.</w:t>
            </w:r>
          </w:p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15.3.1 Controles de auditoría de los sistemas de información.</w:t>
            </w:r>
          </w:p>
          <w:p w:rsidR="00E631DF" w:rsidRDefault="00E631DF" w:rsidP="00E631DF"/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31DF" w:rsidRPr="00A62DE9" w:rsidTr="00AC0BC6">
        <w:tc>
          <w:tcPr>
            <w:tcW w:w="988" w:type="dxa"/>
          </w:tcPr>
          <w:p w:rsidR="00E631DF" w:rsidRDefault="00E631DF" w:rsidP="00E631DF"/>
        </w:tc>
        <w:tc>
          <w:tcPr>
            <w:tcW w:w="1984" w:type="dxa"/>
          </w:tcPr>
          <w:p w:rsidR="00E631DF" w:rsidRDefault="00E631DF" w:rsidP="00E631DF"/>
        </w:tc>
        <w:tc>
          <w:tcPr>
            <w:tcW w:w="2456" w:type="dxa"/>
          </w:tcPr>
          <w:p w:rsidR="00E631DF" w:rsidRDefault="00E631DF" w:rsidP="00E631DF"/>
          <w:p w:rsidR="00E631DF" w:rsidRDefault="00E631DF" w:rsidP="00E631DF">
            <w:r>
              <w:t>15.3.2 Protección de las herramientas de auditoría de los sistemas de información.</w:t>
            </w:r>
          </w:p>
          <w:p w:rsidR="00E631DF" w:rsidRDefault="00E631DF" w:rsidP="00E631DF"/>
        </w:tc>
        <w:tc>
          <w:tcPr>
            <w:tcW w:w="1050" w:type="dxa"/>
          </w:tcPr>
          <w:p w:rsidR="00E631DF" w:rsidRPr="00A62DE9" w:rsidRDefault="00E631DF" w:rsidP="00E63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6" w:type="dxa"/>
          </w:tcPr>
          <w:p w:rsidR="00E631DF" w:rsidRPr="00A62DE9" w:rsidRDefault="00E631DF" w:rsidP="00E631DF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07222" w:rsidRDefault="00607222" w:rsidP="00607222"/>
    <w:p w:rsidR="00607222" w:rsidRDefault="00607222" w:rsidP="00607222"/>
    <w:sectPr w:rsidR="00607222" w:rsidSect="00666B12">
      <w:pgSz w:w="11906" w:h="16838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4477A"/>
    <w:multiLevelType w:val="hybridMultilevel"/>
    <w:tmpl w:val="2B7E06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12"/>
    <w:rsid w:val="00010671"/>
    <w:rsid w:val="00011AD3"/>
    <w:rsid w:val="00025DA7"/>
    <w:rsid w:val="000B1919"/>
    <w:rsid w:val="002262AC"/>
    <w:rsid w:val="002C6DB2"/>
    <w:rsid w:val="00401207"/>
    <w:rsid w:val="0047112B"/>
    <w:rsid w:val="004868D2"/>
    <w:rsid w:val="004A5BC7"/>
    <w:rsid w:val="004C3A0F"/>
    <w:rsid w:val="00563CCC"/>
    <w:rsid w:val="00565D45"/>
    <w:rsid w:val="0057148A"/>
    <w:rsid w:val="00597449"/>
    <w:rsid w:val="005F4885"/>
    <w:rsid w:val="00607222"/>
    <w:rsid w:val="00666B12"/>
    <w:rsid w:val="006D66DC"/>
    <w:rsid w:val="006F3EA0"/>
    <w:rsid w:val="00736544"/>
    <w:rsid w:val="007B4065"/>
    <w:rsid w:val="00800AAC"/>
    <w:rsid w:val="00824B7D"/>
    <w:rsid w:val="0085386E"/>
    <w:rsid w:val="008D0B57"/>
    <w:rsid w:val="00915624"/>
    <w:rsid w:val="00933E3C"/>
    <w:rsid w:val="00A231F0"/>
    <w:rsid w:val="00A30CEA"/>
    <w:rsid w:val="00A41993"/>
    <w:rsid w:val="00A62DE9"/>
    <w:rsid w:val="00AC0BC6"/>
    <w:rsid w:val="00AC4E5E"/>
    <w:rsid w:val="00AD3845"/>
    <w:rsid w:val="00BC6C66"/>
    <w:rsid w:val="00BE1E5E"/>
    <w:rsid w:val="00C13830"/>
    <w:rsid w:val="00C50F0A"/>
    <w:rsid w:val="00C86E68"/>
    <w:rsid w:val="00D07E3C"/>
    <w:rsid w:val="00D8001C"/>
    <w:rsid w:val="00D83335"/>
    <w:rsid w:val="00E61435"/>
    <w:rsid w:val="00E631DF"/>
    <w:rsid w:val="00E746D6"/>
    <w:rsid w:val="00EC6A27"/>
    <w:rsid w:val="00F34EC5"/>
    <w:rsid w:val="00F701D7"/>
    <w:rsid w:val="00F75DA0"/>
    <w:rsid w:val="00FD0A02"/>
    <w:rsid w:val="00F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E6958A-4B50-4F15-A823-9FB6B31E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6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06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4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8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E2554-A495-432E-9427-06A5C04DC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18</Pages>
  <Words>2756</Words>
  <Characters>15162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Idrovo Cárdenas</dc:creator>
  <cp:keywords/>
  <dc:description/>
  <cp:lastModifiedBy>Juan Carlos Idrovo Cárdenas</cp:lastModifiedBy>
  <cp:revision>3</cp:revision>
  <cp:lastPrinted>2014-12-04T00:07:00Z</cp:lastPrinted>
  <dcterms:created xsi:type="dcterms:W3CDTF">2014-12-03T16:37:00Z</dcterms:created>
  <dcterms:modified xsi:type="dcterms:W3CDTF">2014-12-05T18:18:00Z</dcterms:modified>
</cp:coreProperties>
</file>