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CE11D" w14:textId="2E47BD83" w:rsidR="005C181A" w:rsidRDefault="005C181A" w:rsidP="00F000AC">
      <w:pPr>
        <w:pStyle w:val="cvgsua"/>
        <w:spacing w:line="360" w:lineRule="atLeast"/>
        <w:jc w:val="center"/>
        <w:rPr>
          <w:rStyle w:val="oypena"/>
          <w:rFonts w:ascii="Calibri" w:eastAsiaTheme="majorEastAsia" w:hAnsi="Calibri" w:cs="Calibri"/>
          <w:b/>
          <w:bCs/>
          <w:color w:val="0D1A26"/>
        </w:rPr>
      </w:pPr>
      <w:r w:rsidRPr="00F000AC">
        <w:rPr>
          <w:rStyle w:val="oypena"/>
          <w:rFonts w:ascii="Calibri" w:eastAsiaTheme="majorEastAsia" w:hAnsi="Calibri" w:cs="Calibri"/>
          <w:b/>
          <w:bCs/>
          <w:color w:val="0D1A26"/>
        </w:rPr>
        <w:t>REFERENCES</w:t>
      </w:r>
    </w:p>
    <w:p w14:paraId="07E705D5" w14:textId="721C45C0" w:rsidR="00F000AC" w:rsidRPr="00F000AC" w:rsidRDefault="00F000AC" w:rsidP="00F000AC">
      <w:pPr>
        <w:pStyle w:val="cvgsua"/>
        <w:spacing w:line="360" w:lineRule="atLeast"/>
        <w:jc w:val="both"/>
        <w:rPr>
          <w:rFonts w:ascii="Calibri" w:hAnsi="Calibri" w:cs="Calibri"/>
          <w:b/>
          <w:bCs/>
          <w:color w:val="0D1A26"/>
        </w:rPr>
      </w:pPr>
      <w:r>
        <w:rPr>
          <w:rStyle w:val="oypena"/>
          <w:rFonts w:ascii="Calibri" w:eastAsiaTheme="majorEastAsia" w:hAnsi="Calibri" w:cs="Calibri"/>
          <w:b/>
          <w:bCs/>
          <w:color w:val="0D1A26"/>
        </w:rPr>
        <w:t>I. Research Journals and Studies</w:t>
      </w:r>
    </w:p>
    <w:p w14:paraId="1364BDC6" w14:textId="77777777" w:rsidR="005C181A" w:rsidRPr="00F000AC" w:rsidRDefault="005C181A" w:rsidP="005C181A">
      <w:pPr>
        <w:pStyle w:val="cvgsua"/>
        <w:spacing w:line="360" w:lineRule="atLeast"/>
        <w:rPr>
          <w:rFonts w:ascii="Calibri" w:hAnsi="Calibri" w:cs="Calibri"/>
          <w:color w:val="0D1A26"/>
        </w:rPr>
      </w:pPr>
      <w:r w:rsidRPr="00F000AC">
        <w:rPr>
          <w:rStyle w:val="oypena"/>
          <w:rFonts w:ascii="Calibri" w:eastAsiaTheme="majorEastAsia" w:hAnsi="Calibri" w:cs="Calibri"/>
          <w:color w:val="0D1A26"/>
        </w:rPr>
        <w:t>1. Owen, R., Owen, J. A., &amp; Evans, S. (2024). Artificial intelligence for sport injury prediction. In Artificial Intelligence for Sport Injury Prediction. Springer.</w:t>
      </w:r>
    </w:p>
    <w:p w14:paraId="1AD11D2A" w14:textId="77777777" w:rsidR="005C181A" w:rsidRPr="00F000AC" w:rsidRDefault="005C181A" w:rsidP="005C181A">
      <w:pPr>
        <w:pStyle w:val="cvgsua"/>
        <w:spacing w:line="360" w:lineRule="atLeast"/>
        <w:rPr>
          <w:rFonts w:ascii="Calibri" w:hAnsi="Calibri" w:cs="Calibri"/>
          <w:color w:val="0D1A26"/>
        </w:rPr>
      </w:pPr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2. Lu, Y., Pareek, A., Lavoie-Gagne, O. Z., </w:t>
      </w:r>
      <w:proofErr w:type="spellStart"/>
      <w:r w:rsidRPr="00F000AC">
        <w:rPr>
          <w:rStyle w:val="oypena"/>
          <w:rFonts w:ascii="Calibri" w:eastAsiaTheme="majorEastAsia" w:hAnsi="Calibri" w:cs="Calibri"/>
          <w:color w:val="0D1A26"/>
        </w:rPr>
        <w:t>Forlenza</w:t>
      </w:r>
      <w:proofErr w:type="spellEnd"/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, E. M., Patel, B. H., </w:t>
      </w:r>
      <w:proofErr w:type="spellStart"/>
      <w:r w:rsidRPr="00F000AC">
        <w:rPr>
          <w:rStyle w:val="oypena"/>
          <w:rFonts w:ascii="Calibri" w:eastAsiaTheme="majorEastAsia" w:hAnsi="Calibri" w:cs="Calibri"/>
          <w:color w:val="0D1A26"/>
        </w:rPr>
        <w:t>Reinholz</w:t>
      </w:r>
      <w:proofErr w:type="spellEnd"/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, A. K., Forsythe, B., &amp; Camp, C. L. (2022). Machine learning for predicting lower extremity muscle strain in National Basketball Association athletes. The Orthopaedic Journal of Sports Medicine, 10(7), 23259671221111742. </w:t>
      </w:r>
    </w:p>
    <w:p w14:paraId="63588BA1" w14:textId="77777777" w:rsidR="005C181A" w:rsidRPr="00F000AC" w:rsidRDefault="005C181A" w:rsidP="005C181A">
      <w:pPr>
        <w:pStyle w:val="cvgsua"/>
        <w:spacing w:line="360" w:lineRule="atLeast"/>
        <w:rPr>
          <w:rFonts w:ascii="Calibri" w:hAnsi="Calibri" w:cs="Calibri"/>
          <w:color w:val="0D1A26"/>
        </w:rPr>
      </w:pPr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3. </w:t>
      </w:r>
      <w:proofErr w:type="spellStart"/>
      <w:r w:rsidRPr="00F000AC">
        <w:rPr>
          <w:rStyle w:val="oypena"/>
          <w:rFonts w:ascii="Calibri" w:eastAsiaTheme="majorEastAsia" w:hAnsi="Calibri" w:cs="Calibri"/>
          <w:color w:val="0D1A26"/>
        </w:rPr>
        <w:t>Papageorgiou</w:t>
      </w:r>
      <w:proofErr w:type="spellEnd"/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, G., </w:t>
      </w:r>
      <w:proofErr w:type="spellStart"/>
      <w:r w:rsidRPr="00F000AC">
        <w:rPr>
          <w:rStyle w:val="oypena"/>
          <w:rFonts w:ascii="Calibri" w:eastAsiaTheme="majorEastAsia" w:hAnsi="Calibri" w:cs="Calibri"/>
          <w:color w:val="0D1A26"/>
        </w:rPr>
        <w:t>Sarlis</w:t>
      </w:r>
      <w:proofErr w:type="spellEnd"/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, V., &amp; </w:t>
      </w:r>
      <w:proofErr w:type="spellStart"/>
      <w:r w:rsidRPr="00F000AC">
        <w:rPr>
          <w:rStyle w:val="oypena"/>
          <w:rFonts w:ascii="Calibri" w:eastAsiaTheme="majorEastAsia" w:hAnsi="Calibri" w:cs="Calibri"/>
          <w:color w:val="0D1A26"/>
        </w:rPr>
        <w:t>Tjortjis</w:t>
      </w:r>
      <w:proofErr w:type="spellEnd"/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, C. (2024). Evaluating the effectiveness of machine learning models for performance forecasting in basketball: A comparative study. Knowledge and Information Systems, 66, 4333–4375. </w:t>
      </w:r>
    </w:p>
    <w:p w14:paraId="56F1823E" w14:textId="77777777" w:rsidR="005C181A" w:rsidRPr="00F000AC" w:rsidRDefault="005C181A" w:rsidP="005C181A">
      <w:pPr>
        <w:pStyle w:val="cvgsua"/>
        <w:spacing w:line="360" w:lineRule="atLeast"/>
        <w:rPr>
          <w:rFonts w:ascii="Calibri" w:hAnsi="Calibri" w:cs="Calibri"/>
          <w:color w:val="0D1A26"/>
        </w:rPr>
      </w:pPr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4. </w:t>
      </w:r>
      <w:proofErr w:type="spellStart"/>
      <w:r w:rsidRPr="00F000AC">
        <w:rPr>
          <w:rStyle w:val="oypena"/>
          <w:rFonts w:ascii="Calibri" w:eastAsiaTheme="majorEastAsia" w:hAnsi="Calibri" w:cs="Calibri"/>
          <w:color w:val="0D1A26"/>
        </w:rPr>
        <w:t>Chmait</w:t>
      </w:r>
      <w:proofErr w:type="spellEnd"/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, N., &amp; </w:t>
      </w:r>
      <w:proofErr w:type="spellStart"/>
      <w:r w:rsidRPr="00F000AC">
        <w:rPr>
          <w:rStyle w:val="oypena"/>
          <w:rFonts w:ascii="Calibri" w:eastAsiaTheme="majorEastAsia" w:hAnsi="Calibri" w:cs="Calibri"/>
          <w:color w:val="0D1A26"/>
        </w:rPr>
        <w:t>Westerbeek</w:t>
      </w:r>
      <w:proofErr w:type="spellEnd"/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, H. (2021). Artificial intelligence and machine learning in sport research: An introduction for non-data scientists. Frontiers in Sports and Active Living, 3, Article 682287. </w:t>
      </w:r>
    </w:p>
    <w:p w14:paraId="0A1E6DCD" w14:textId="77777777" w:rsidR="005C181A" w:rsidRPr="00F000AC" w:rsidRDefault="005C181A" w:rsidP="005C181A">
      <w:pPr>
        <w:pStyle w:val="cvgsua"/>
        <w:spacing w:line="360" w:lineRule="atLeast"/>
        <w:rPr>
          <w:rFonts w:ascii="Calibri" w:hAnsi="Calibri" w:cs="Calibri"/>
          <w:color w:val="0D1A26"/>
        </w:rPr>
      </w:pPr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5. </w:t>
      </w:r>
      <w:proofErr w:type="spellStart"/>
      <w:r w:rsidRPr="00F000AC">
        <w:rPr>
          <w:rStyle w:val="oypena"/>
          <w:rFonts w:ascii="Calibri" w:eastAsiaTheme="majorEastAsia" w:hAnsi="Calibri" w:cs="Calibri"/>
          <w:color w:val="0D1A26"/>
        </w:rPr>
        <w:t>Dindorf</w:t>
      </w:r>
      <w:proofErr w:type="spellEnd"/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, C., </w:t>
      </w:r>
      <w:proofErr w:type="spellStart"/>
      <w:r w:rsidRPr="00F000AC">
        <w:rPr>
          <w:rStyle w:val="oypena"/>
          <w:rFonts w:ascii="Calibri" w:eastAsiaTheme="majorEastAsia" w:hAnsi="Calibri" w:cs="Calibri"/>
          <w:color w:val="0D1A26"/>
        </w:rPr>
        <w:t>Bartaguiz</w:t>
      </w:r>
      <w:proofErr w:type="spellEnd"/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, E., Gassmann, F., &amp; Fröhlich, M. (2022). Conceptual structure and current trends in artificial intelligence, machine learning, and deep learning research in sports: A bibliometric review. Preprint. </w:t>
      </w:r>
    </w:p>
    <w:p w14:paraId="4C670CD1" w14:textId="77777777" w:rsidR="005C181A" w:rsidRPr="00F000AC" w:rsidRDefault="005C181A" w:rsidP="005C181A">
      <w:pPr>
        <w:pStyle w:val="cvgsua"/>
        <w:spacing w:line="360" w:lineRule="atLeast"/>
        <w:rPr>
          <w:rFonts w:ascii="Calibri" w:hAnsi="Calibri" w:cs="Calibri"/>
          <w:color w:val="0D1A26"/>
        </w:rPr>
      </w:pPr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6. Li, S., &amp; Zhang, W. (2022). Evaluation method of basketball teaching and training effect based on wearable devices. Frontiers in Physics, 10, Article 900169. </w:t>
      </w:r>
    </w:p>
    <w:p w14:paraId="2863825F" w14:textId="77777777" w:rsidR="005C181A" w:rsidRPr="00F000AC" w:rsidRDefault="005C181A" w:rsidP="005C181A">
      <w:pPr>
        <w:pStyle w:val="cvgsua"/>
        <w:spacing w:line="360" w:lineRule="atLeast"/>
        <w:rPr>
          <w:rFonts w:ascii="Calibri" w:hAnsi="Calibri" w:cs="Calibri"/>
          <w:color w:val="0D1A26"/>
        </w:rPr>
      </w:pPr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7. Yang, X. (2024). Construction of measurement index system of basketball players’ specific physical fitness training based on AI intelligence and neural network. Molecular &amp; Cellular Biomechanics, 21(1), 250. </w:t>
      </w:r>
    </w:p>
    <w:p w14:paraId="0C8D4531" w14:textId="77777777" w:rsidR="005C181A" w:rsidRPr="00F000AC" w:rsidRDefault="005C181A" w:rsidP="005C181A">
      <w:pPr>
        <w:pStyle w:val="cvgsua"/>
        <w:spacing w:line="360" w:lineRule="atLeast"/>
        <w:rPr>
          <w:rFonts w:ascii="Calibri" w:hAnsi="Calibri" w:cs="Calibri"/>
          <w:color w:val="0D1A26"/>
        </w:rPr>
      </w:pPr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8. </w:t>
      </w:r>
      <w:proofErr w:type="spellStart"/>
      <w:r w:rsidRPr="00F000AC">
        <w:rPr>
          <w:rStyle w:val="oypena"/>
          <w:rFonts w:ascii="Calibri" w:eastAsiaTheme="majorEastAsia" w:hAnsi="Calibri" w:cs="Calibri"/>
          <w:color w:val="0D1A26"/>
        </w:rPr>
        <w:t>Georgievski</w:t>
      </w:r>
      <w:proofErr w:type="spellEnd"/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, B., &amp; </w:t>
      </w:r>
      <w:proofErr w:type="spellStart"/>
      <w:r w:rsidRPr="00F000AC">
        <w:rPr>
          <w:rStyle w:val="oypena"/>
          <w:rFonts w:ascii="Calibri" w:eastAsiaTheme="majorEastAsia" w:hAnsi="Calibri" w:cs="Calibri"/>
          <w:color w:val="0D1A26"/>
        </w:rPr>
        <w:t>Vrtagic</w:t>
      </w:r>
      <w:proofErr w:type="spellEnd"/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, S. (2021). Machine learning and the NBA game. Journal of Physical Education and Sport. </w:t>
      </w:r>
    </w:p>
    <w:p w14:paraId="6DA6018B" w14:textId="27CE3D68" w:rsidR="00641D56" w:rsidRDefault="00F000AC" w:rsidP="00641D56">
      <w:pPr>
        <w:jc w:val="both"/>
        <w:rPr>
          <w:rFonts w:ascii="Calibri" w:hAnsi="Calibri" w:cs="Calibri"/>
        </w:rPr>
      </w:pPr>
      <w:r w:rsidRPr="00F000AC">
        <w:rPr>
          <w:rFonts w:ascii="Calibri" w:hAnsi="Calibri" w:cs="Calibri"/>
        </w:rPr>
        <w:t xml:space="preserve">9. </w:t>
      </w:r>
      <w:proofErr w:type="spellStart"/>
      <w:r w:rsidRPr="00F000AC">
        <w:rPr>
          <w:rFonts w:ascii="Calibri" w:hAnsi="Calibri" w:cs="Calibri"/>
        </w:rPr>
        <w:t>Simenz</w:t>
      </w:r>
      <w:proofErr w:type="spellEnd"/>
      <w:r w:rsidRPr="00F000AC">
        <w:rPr>
          <w:rFonts w:ascii="Calibri" w:hAnsi="Calibri" w:cs="Calibri"/>
        </w:rPr>
        <w:t xml:space="preserve">, C. J., Dugan, C. A., &amp; Ebben, W. P. (2005). </w:t>
      </w:r>
      <w:r w:rsidRPr="00F000AC">
        <w:rPr>
          <w:rStyle w:val="Emphasis"/>
          <w:rFonts w:ascii="Calibri" w:hAnsi="Calibri" w:cs="Calibri"/>
        </w:rPr>
        <w:t>Strength and conditioning practices of National Basketball Association strength and conditioning coaches.</w:t>
      </w:r>
      <w:r w:rsidRPr="00F000AC">
        <w:rPr>
          <w:rFonts w:ascii="Calibri" w:hAnsi="Calibri" w:cs="Calibri"/>
        </w:rPr>
        <w:t xml:space="preserve"> The Journal of Strength and Conditioning Research, 19(3), 495–504.</w:t>
      </w:r>
    </w:p>
    <w:p w14:paraId="2F3F5FE7" w14:textId="77777777" w:rsidR="00F000AC" w:rsidRDefault="00F000AC" w:rsidP="00641D56">
      <w:pPr>
        <w:jc w:val="both"/>
        <w:rPr>
          <w:rFonts w:ascii="Calibri" w:hAnsi="Calibri" w:cs="Calibri"/>
        </w:rPr>
      </w:pPr>
    </w:p>
    <w:p w14:paraId="1EF8713A" w14:textId="0A266495" w:rsidR="00F000AC" w:rsidRDefault="00F000AC" w:rsidP="00F000AC">
      <w:pPr>
        <w:pStyle w:val="cvgsua"/>
        <w:spacing w:line="360" w:lineRule="atLeast"/>
        <w:jc w:val="both"/>
        <w:rPr>
          <w:rStyle w:val="oypena"/>
          <w:rFonts w:ascii="Calibri" w:eastAsiaTheme="majorEastAsia" w:hAnsi="Calibri" w:cs="Calibri"/>
          <w:b/>
          <w:bCs/>
          <w:color w:val="0D1A26"/>
        </w:rPr>
      </w:pPr>
      <w:r>
        <w:rPr>
          <w:rStyle w:val="oypena"/>
          <w:rFonts w:ascii="Calibri" w:eastAsiaTheme="majorEastAsia" w:hAnsi="Calibri" w:cs="Calibri"/>
          <w:b/>
          <w:bCs/>
          <w:color w:val="0D1A26"/>
        </w:rPr>
        <w:lastRenderedPageBreak/>
        <w:t>I</w:t>
      </w:r>
      <w:r>
        <w:rPr>
          <w:rStyle w:val="oypena"/>
          <w:rFonts w:ascii="Calibri" w:eastAsiaTheme="majorEastAsia" w:hAnsi="Calibri" w:cs="Calibri"/>
          <w:b/>
          <w:bCs/>
          <w:color w:val="0D1A26"/>
        </w:rPr>
        <w:t xml:space="preserve">I. </w:t>
      </w:r>
      <w:r>
        <w:rPr>
          <w:rStyle w:val="oypena"/>
          <w:rFonts w:ascii="Calibri" w:eastAsiaTheme="majorEastAsia" w:hAnsi="Calibri" w:cs="Calibri"/>
          <w:b/>
          <w:bCs/>
          <w:color w:val="0D1A26"/>
        </w:rPr>
        <w:t>Books</w:t>
      </w:r>
    </w:p>
    <w:p w14:paraId="098F66A5" w14:textId="4953539E" w:rsidR="00F000AC" w:rsidRPr="007A5BC0" w:rsidRDefault="00F000AC" w:rsidP="00F000AC">
      <w:pPr>
        <w:pStyle w:val="cvgsua"/>
        <w:spacing w:line="360" w:lineRule="atLeast"/>
        <w:rPr>
          <w:rFonts w:ascii="Calibri" w:hAnsi="Calibri" w:cs="Calibri"/>
          <w:color w:val="0D1A26"/>
        </w:rPr>
      </w:pPr>
      <w:r w:rsidRPr="007A5BC0">
        <w:rPr>
          <w:rStyle w:val="oypena"/>
          <w:rFonts w:ascii="Calibri" w:eastAsiaTheme="majorEastAsia" w:hAnsi="Calibri" w:cs="Calibri"/>
          <w:color w:val="0D1A26"/>
        </w:rPr>
        <w:t xml:space="preserve">1. </w:t>
      </w:r>
      <w:r w:rsidR="007A5BC0">
        <w:rPr>
          <w:rFonts w:ascii="Calibri" w:hAnsi="Calibri" w:cs="Calibri"/>
        </w:rPr>
        <w:t>Braun</w:t>
      </w:r>
      <w:r w:rsidR="007A5BC0" w:rsidRPr="007A5BC0">
        <w:rPr>
          <w:rFonts w:ascii="Calibri" w:hAnsi="Calibri" w:cs="Calibri"/>
        </w:rPr>
        <w:t xml:space="preserve">, </w:t>
      </w:r>
      <w:r w:rsidR="007A5BC0">
        <w:rPr>
          <w:rFonts w:ascii="Calibri" w:hAnsi="Calibri" w:cs="Calibri"/>
        </w:rPr>
        <w:t>N</w:t>
      </w:r>
      <w:r w:rsidR="007A5BC0" w:rsidRPr="007A5BC0">
        <w:rPr>
          <w:rFonts w:ascii="Calibri" w:hAnsi="Calibri" w:cs="Calibri"/>
        </w:rPr>
        <w:t>. (202</w:t>
      </w:r>
      <w:r w:rsidR="007A5BC0">
        <w:rPr>
          <w:rFonts w:ascii="Calibri" w:hAnsi="Calibri" w:cs="Calibri"/>
        </w:rPr>
        <w:t>3</w:t>
      </w:r>
      <w:r w:rsidR="007A5BC0" w:rsidRPr="007A5BC0">
        <w:rPr>
          <w:rFonts w:ascii="Calibri" w:hAnsi="Calibri" w:cs="Calibri"/>
        </w:rPr>
        <w:t xml:space="preserve">). </w:t>
      </w:r>
      <w:r w:rsidR="007A5BC0">
        <w:rPr>
          <w:rStyle w:val="Emphasis"/>
          <w:rFonts w:ascii="Calibri" w:eastAsiaTheme="majorEastAsia" w:hAnsi="Calibri" w:cs="Calibri"/>
        </w:rPr>
        <w:t xml:space="preserve">Learn to </w:t>
      </w:r>
      <w:proofErr w:type="spellStart"/>
      <w:r w:rsidR="007A5BC0">
        <w:rPr>
          <w:rStyle w:val="Emphasis"/>
          <w:rFonts w:ascii="Calibri" w:eastAsiaTheme="majorEastAsia" w:hAnsi="Calibri" w:cs="Calibri"/>
        </w:rPr>
        <w:t>code</w:t>
      </w:r>
      <w:proofErr w:type="spellEnd"/>
      <w:r w:rsidR="007A5BC0">
        <w:rPr>
          <w:rStyle w:val="Emphasis"/>
          <w:rFonts w:ascii="Calibri" w:eastAsiaTheme="majorEastAsia" w:hAnsi="Calibri" w:cs="Calibri"/>
        </w:rPr>
        <w:t xml:space="preserve"> with basketball</w:t>
      </w:r>
      <w:r w:rsidR="007A5BC0" w:rsidRPr="007A5BC0">
        <w:rPr>
          <w:rStyle w:val="Emphasis"/>
          <w:rFonts w:ascii="Calibri" w:eastAsiaTheme="majorEastAsia" w:hAnsi="Calibri" w:cs="Calibri"/>
        </w:rPr>
        <w:t>.</w:t>
      </w:r>
    </w:p>
    <w:p w14:paraId="02916979" w14:textId="44FF175D" w:rsidR="00F000AC" w:rsidRDefault="00F000AC" w:rsidP="007A5BC0">
      <w:pPr>
        <w:pStyle w:val="cvgsua"/>
        <w:spacing w:line="360" w:lineRule="atLeast"/>
        <w:rPr>
          <w:rStyle w:val="Emphasis"/>
          <w:rFonts w:ascii="Calibri" w:eastAsiaTheme="majorEastAsia" w:hAnsi="Calibri" w:cs="Calibri"/>
          <w:i w:val="0"/>
          <w:iCs w:val="0"/>
        </w:rPr>
      </w:pPr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2. </w:t>
      </w:r>
      <w:r w:rsidR="007A5BC0">
        <w:rPr>
          <w:rFonts w:ascii="Calibri" w:hAnsi="Calibri" w:cs="Calibri"/>
        </w:rPr>
        <w:t>Matthes</w:t>
      </w:r>
      <w:r w:rsidR="007A5BC0" w:rsidRPr="007A5BC0">
        <w:rPr>
          <w:rFonts w:ascii="Calibri" w:hAnsi="Calibri" w:cs="Calibri"/>
        </w:rPr>
        <w:t xml:space="preserve">, </w:t>
      </w:r>
      <w:r w:rsidR="007A5BC0">
        <w:rPr>
          <w:rFonts w:ascii="Calibri" w:hAnsi="Calibri" w:cs="Calibri"/>
        </w:rPr>
        <w:t>E</w:t>
      </w:r>
      <w:r w:rsidR="007A5BC0" w:rsidRPr="007A5BC0">
        <w:rPr>
          <w:rFonts w:ascii="Calibri" w:hAnsi="Calibri" w:cs="Calibri"/>
        </w:rPr>
        <w:t>. (202</w:t>
      </w:r>
      <w:r w:rsidR="007A5BC0">
        <w:rPr>
          <w:rFonts w:ascii="Calibri" w:hAnsi="Calibri" w:cs="Calibri"/>
        </w:rPr>
        <w:t>3</w:t>
      </w:r>
      <w:r w:rsidR="007A5BC0" w:rsidRPr="007A5BC0">
        <w:rPr>
          <w:rFonts w:ascii="Calibri" w:hAnsi="Calibri" w:cs="Calibri"/>
        </w:rPr>
        <w:t xml:space="preserve">). </w:t>
      </w:r>
      <w:r w:rsidR="007A5BC0">
        <w:rPr>
          <w:rStyle w:val="Emphasis"/>
          <w:rFonts w:ascii="Calibri" w:eastAsiaTheme="majorEastAsia" w:hAnsi="Calibri" w:cs="Calibri"/>
        </w:rPr>
        <w:t>Phyton crash course 3</w:t>
      </w:r>
      <w:r w:rsidR="007A5BC0" w:rsidRPr="007A5BC0">
        <w:rPr>
          <w:rStyle w:val="Emphasis"/>
          <w:rFonts w:ascii="Calibri" w:eastAsiaTheme="majorEastAsia" w:hAnsi="Calibri" w:cs="Calibri"/>
          <w:vertAlign w:val="superscript"/>
        </w:rPr>
        <w:t>rd</w:t>
      </w:r>
      <w:r w:rsidR="007A5BC0">
        <w:rPr>
          <w:rStyle w:val="Emphasis"/>
          <w:rFonts w:ascii="Calibri" w:eastAsiaTheme="majorEastAsia" w:hAnsi="Calibri" w:cs="Calibri"/>
        </w:rPr>
        <w:t xml:space="preserve"> edition: A hands-on, project-based introduction to programming. </w:t>
      </w:r>
      <w:r w:rsidR="007A5BC0">
        <w:rPr>
          <w:rStyle w:val="Emphasis"/>
          <w:rFonts w:ascii="Calibri" w:eastAsiaTheme="majorEastAsia" w:hAnsi="Calibri" w:cs="Calibri"/>
          <w:i w:val="0"/>
          <w:iCs w:val="0"/>
        </w:rPr>
        <w:t>No Starch Press.</w:t>
      </w:r>
    </w:p>
    <w:p w14:paraId="17899955" w14:textId="34397C7E" w:rsidR="007A5BC0" w:rsidRDefault="007A5BC0" w:rsidP="007A5BC0">
      <w:pPr>
        <w:pStyle w:val="cvgsua"/>
        <w:spacing w:line="360" w:lineRule="atLeast"/>
        <w:rPr>
          <w:rStyle w:val="Emphasis"/>
          <w:rFonts w:ascii="Calibri" w:eastAsiaTheme="majorEastAsia" w:hAnsi="Calibri" w:cs="Calibri"/>
          <w:i w:val="0"/>
          <w:iCs w:val="0"/>
        </w:rPr>
      </w:pPr>
      <w:r>
        <w:rPr>
          <w:rStyle w:val="Emphasis"/>
          <w:rFonts w:ascii="Calibri" w:eastAsiaTheme="majorEastAsia" w:hAnsi="Calibri" w:cs="Calibri"/>
          <w:i w:val="0"/>
          <w:iCs w:val="0"/>
        </w:rPr>
        <w:t xml:space="preserve">3. </w:t>
      </w:r>
      <w:r>
        <w:rPr>
          <w:rFonts w:ascii="Calibri" w:hAnsi="Calibri" w:cs="Calibri"/>
        </w:rPr>
        <w:t>Foran</w:t>
      </w:r>
      <w:r w:rsidRPr="007A5BC0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B</w:t>
      </w:r>
      <w:r w:rsidRPr="007A5BC0">
        <w:rPr>
          <w:rFonts w:ascii="Calibri" w:hAnsi="Calibri" w:cs="Calibri"/>
        </w:rPr>
        <w:t>. (202</w:t>
      </w:r>
      <w:r w:rsidR="00FD1F35">
        <w:rPr>
          <w:rFonts w:ascii="Calibri" w:hAnsi="Calibri" w:cs="Calibri"/>
        </w:rPr>
        <w:t>6</w:t>
      </w:r>
      <w:r w:rsidRPr="007A5BC0">
        <w:rPr>
          <w:rFonts w:ascii="Calibri" w:hAnsi="Calibri" w:cs="Calibri"/>
        </w:rPr>
        <w:t xml:space="preserve">). </w:t>
      </w:r>
      <w:r w:rsidR="00FD1F35">
        <w:rPr>
          <w:rStyle w:val="Emphasis"/>
          <w:rFonts w:ascii="Calibri" w:eastAsiaTheme="majorEastAsia" w:hAnsi="Calibri" w:cs="Calibri"/>
        </w:rPr>
        <w:t>Complete conditioning for basketball: National Basketball Strength &amp; Conditioning Association</w:t>
      </w:r>
      <w:r>
        <w:rPr>
          <w:rStyle w:val="Emphasis"/>
          <w:rFonts w:ascii="Calibri" w:eastAsiaTheme="majorEastAsia" w:hAnsi="Calibri" w:cs="Calibri"/>
        </w:rPr>
        <w:t xml:space="preserve">. </w:t>
      </w:r>
      <w:r w:rsidR="00FD1F35">
        <w:rPr>
          <w:rStyle w:val="Emphasis"/>
          <w:rFonts w:ascii="Calibri" w:eastAsiaTheme="majorEastAsia" w:hAnsi="Calibri" w:cs="Calibri"/>
          <w:i w:val="0"/>
          <w:iCs w:val="0"/>
        </w:rPr>
        <w:t>Human Kinetics</w:t>
      </w:r>
      <w:r>
        <w:rPr>
          <w:rStyle w:val="Emphasis"/>
          <w:rFonts w:ascii="Calibri" w:eastAsiaTheme="majorEastAsia" w:hAnsi="Calibri" w:cs="Calibri"/>
          <w:i w:val="0"/>
          <w:iCs w:val="0"/>
        </w:rPr>
        <w:t>.</w:t>
      </w:r>
    </w:p>
    <w:p w14:paraId="07E1900D" w14:textId="07CB016E" w:rsidR="00FD1F35" w:rsidRDefault="00FD1F35" w:rsidP="00FD1F35">
      <w:pPr>
        <w:pStyle w:val="cvgsua"/>
        <w:spacing w:line="360" w:lineRule="atLeast"/>
        <w:rPr>
          <w:rStyle w:val="Emphasis"/>
          <w:rFonts w:ascii="Calibri" w:eastAsiaTheme="majorEastAsia" w:hAnsi="Calibri" w:cs="Calibri"/>
          <w:i w:val="0"/>
          <w:iCs w:val="0"/>
        </w:rPr>
      </w:pPr>
      <w:r>
        <w:rPr>
          <w:rStyle w:val="Emphasis"/>
          <w:rFonts w:ascii="Calibri" w:eastAsiaTheme="majorEastAsia" w:hAnsi="Calibri" w:cs="Calibri"/>
          <w:i w:val="0"/>
          <w:iCs w:val="0"/>
        </w:rPr>
        <w:t>4</w:t>
      </w:r>
      <w:r>
        <w:rPr>
          <w:rStyle w:val="Emphasis"/>
          <w:rFonts w:ascii="Calibri" w:eastAsiaTheme="majorEastAsia" w:hAnsi="Calibri" w:cs="Calibri"/>
          <w:i w:val="0"/>
          <w:iCs w:val="0"/>
        </w:rPr>
        <w:t xml:space="preserve">. </w:t>
      </w:r>
      <w:r>
        <w:rPr>
          <w:rFonts w:ascii="Calibri" w:hAnsi="Calibri" w:cs="Calibri"/>
        </w:rPr>
        <w:t>Gillett</w:t>
      </w:r>
      <w:r w:rsidRPr="007A5BC0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J</w:t>
      </w:r>
      <w:r w:rsidRPr="007A5BC0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&amp; Burgos, B.</w:t>
      </w:r>
      <w:r w:rsidRPr="007A5BC0">
        <w:rPr>
          <w:rFonts w:ascii="Calibri" w:hAnsi="Calibri" w:cs="Calibri"/>
        </w:rPr>
        <w:t xml:space="preserve"> (202</w:t>
      </w:r>
      <w:r>
        <w:rPr>
          <w:rFonts w:ascii="Calibri" w:hAnsi="Calibri" w:cs="Calibri"/>
        </w:rPr>
        <w:t>0</w:t>
      </w:r>
      <w:r w:rsidRPr="007A5BC0">
        <w:rPr>
          <w:rFonts w:ascii="Calibri" w:hAnsi="Calibri" w:cs="Calibri"/>
        </w:rPr>
        <w:t xml:space="preserve">). </w:t>
      </w:r>
      <w:r>
        <w:rPr>
          <w:rStyle w:val="Emphasis"/>
          <w:rFonts w:ascii="Calibri" w:eastAsiaTheme="majorEastAsia" w:hAnsi="Calibri" w:cs="Calibri"/>
        </w:rPr>
        <w:t>Strength Training for Basketball: National Strength and Conditioning Association</w:t>
      </w:r>
      <w:r>
        <w:rPr>
          <w:rStyle w:val="Emphasis"/>
          <w:rFonts w:ascii="Calibri" w:eastAsiaTheme="majorEastAsia" w:hAnsi="Calibri" w:cs="Calibri"/>
        </w:rPr>
        <w:t xml:space="preserve">. </w:t>
      </w:r>
      <w:r>
        <w:rPr>
          <w:rStyle w:val="Emphasis"/>
          <w:rFonts w:ascii="Calibri" w:eastAsiaTheme="majorEastAsia" w:hAnsi="Calibri" w:cs="Calibri"/>
          <w:i w:val="0"/>
          <w:iCs w:val="0"/>
        </w:rPr>
        <w:t>Human Kinetics.</w:t>
      </w:r>
    </w:p>
    <w:p w14:paraId="1D476FCF" w14:textId="77777777" w:rsidR="00FD1F35" w:rsidRPr="007A5BC0" w:rsidRDefault="00FD1F35" w:rsidP="007A5BC0">
      <w:pPr>
        <w:pStyle w:val="cvgsua"/>
        <w:spacing w:line="360" w:lineRule="atLeast"/>
        <w:rPr>
          <w:rFonts w:ascii="Calibri" w:hAnsi="Calibri" w:cs="Calibri"/>
          <w:color w:val="0D1A26"/>
        </w:rPr>
      </w:pPr>
    </w:p>
    <w:p w14:paraId="1511244B" w14:textId="77777777" w:rsidR="00F000AC" w:rsidRPr="00F000AC" w:rsidRDefault="00F000AC" w:rsidP="00F000AC">
      <w:pPr>
        <w:pStyle w:val="cvgsua"/>
        <w:spacing w:line="360" w:lineRule="atLeast"/>
        <w:jc w:val="both"/>
        <w:rPr>
          <w:rFonts w:ascii="Calibri" w:hAnsi="Calibri" w:cs="Calibri"/>
          <w:b/>
          <w:bCs/>
          <w:color w:val="0D1A26"/>
        </w:rPr>
      </w:pPr>
    </w:p>
    <w:p w14:paraId="45C3A684" w14:textId="77777777" w:rsidR="00F000AC" w:rsidRDefault="00F000AC" w:rsidP="00641D56">
      <w:pPr>
        <w:jc w:val="both"/>
        <w:rPr>
          <w:rFonts w:ascii="Calibri" w:hAnsi="Calibri" w:cs="Calibri"/>
        </w:rPr>
      </w:pPr>
    </w:p>
    <w:p w14:paraId="0E679B4E" w14:textId="77777777" w:rsidR="00F000AC" w:rsidRPr="00F000AC" w:rsidRDefault="00F000AC" w:rsidP="00641D56">
      <w:pPr>
        <w:jc w:val="both"/>
        <w:rPr>
          <w:rFonts w:ascii="Calibri" w:hAnsi="Calibri" w:cs="Calibri"/>
        </w:rPr>
      </w:pPr>
    </w:p>
    <w:sectPr w:rsidR="00F000AC" w:rsidRPr="00F00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56"/>
    <w:rsid w:val="001A43E7"/>
    <w:rsid w:val="001B6600"/>
    <w:rsid w:val="002E5E91"/>
    <w:rsid w:val="004D783E"/>
    <w:rsid w:val="00583FAD"/>
    <w:rsid w:val="005C181A"/>
    <w:rsid w:val="00641D56"/>
    <w:rsid w:val="007A5BC0"/>
    <w:rsid w:val="00870ACE"/>
    <w:rsid w:val="00890C98"/>
    <w:rsid w:val="00D12975"/>
    <w:rsid w:val="00F000AC"/>
    <w:rsid w:val="00FD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1B8F"/>
  <w15:chartTrackingRefBased/>
  <w15:docId w15:val="{3311A177-968A-1F4D-B0D1-10292664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D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1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641D56"/>
    <w:rPr>
      <w:i/>
      <w:iCs/>
    </w:rPr>
  </w:style>
  <w:style w:type="paragraph" w:customStyle="1" w:styleId="cvgsua">
    <w:name w:val="cvgsua"/>
    <w:basedOn w:val="Normal"/>
    <w:rsid w:val="005C1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ypena">
    <w:name w:val="oypena"/>
    <w:basedOn w:val="DefaultParagraphFont"/>
    <w:rsid w:val="005C1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9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Katigbak, Juan Carlos C.</dc:creator>
  <cp:keywords/>
  <dc:description/>
  <cp:lastModifiedBy>Katigbak, Juan Carlos C.</cp:lastModifiedBy>
  <cp:revision>5</cp:revision>
  <dcterms:created xsi:type="dcterms:W3CDTF">2025-01-25T06:25:00Z</dcterms:created>
  <dcterms:modified xsi:type="dcterms:W3CDTF">2025-02-07T22:54:00Z</dcterms:modified>
</cp:coreProperties>
</file>