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Autoevaluación — Definición Proyecto APT (Kardex)</w:t>
      </w:r>
    </w:p>
    <w:p>
      <w:pPr>
        <w:spacing w:after="200"/>
      </w:pPr>
      <w:r>
        <w:rPr>
          <w:i/>
          <w:iCs/>
          <w:color w:val="5C7A7A"/>
          <w:sz w:val="20"/>
          <w:szCs w:val="20"/>
        </w:rPr>
        <w:t xml:space="preserve">Juan Castro · Ingeniería en Informática · Capstone (PTY4614) · Duoc UC, Sede Alameda</w:t>
      </w:r>
    </w:p>
    <w:p>
      <w:pPr>
        <w:spacing w:after="200"/>
      </w:pPr>
      <w:r>
        <w:rPr>
          <w:sz w:val="20"/>
          <w:szCs w:val="20"/>
        </w:rPr>
        <w:t xml:space="preserve">A partir de la pauta de autoevaluación de la Fase 1, autoevalué mi Definición de Proyecto APT indicador por indicador. El resultado y la justificación de cada nivel de logro se detallan a continuación.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0"/>
        <w:gridCol w:w="2650"/>
        <w:gridCol w:w="1500"/>
        <w:gridCol w:w="900"/>
        <w:gridCol w:w="3850"/>
      </w:tblGrid>
      <w:tr>
        <w:trPr>
          <w:tblHeader/>
        </w:trPr>
        <w:tc>
          <w:tcPr>
            <w:tcW w:type="dxa" w:w="45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65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 de Evaluación</w:t>
            </w:r>
          </w:p>
        </w:tc>
        <w:tc>
          <w:tcPr>
            <w:tcW w:type="dxa" w:w="15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Logro</w:t>
            </w:r>
          </w:p>
        </w:tc>
        <w:tc>
          <w:tcPr>
            <w:tcW w:type="dxa" w:w="9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385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 brevemente el Proyecto APT y su relevancia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relevancia queda justificada con el contexto de pymes chilenas y el problema de control manual de inventario.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Relaciona el Proyecto APT con las competencias del perfil de egreso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seleccionaron y justificaron 4 competencias, cada una vinculada a una parte concreta del desarrollo.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Relaciona el Proyecto APT con sus intereses profesionales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explicita el interés por el desarrollo full-stack y su relación directa con la arquitectura de la app.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Argumenta la factibilidad del proyecto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abordan duración del semestre, horas, materiales y factores externos, con estrategia ante dificultades.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 objetivos claros, concisos y coherentes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/ 10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Objetivo general y 5 objetivos específicos, redactados en infinitivo y acotados.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Propone una metodología de trabajo pertinente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/ 10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Metodología ágil basada en épicas y Poker Planning, coherente con el plan de trabajo.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Establece un plan de trabajo con recursos, duración y responsables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/ 10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actividades con recursos, duración, responsable y observaciones, cubriendo las 3 fases.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Determina evidencias y justifica su selección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/ 10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evidencias (3 de avance, 1 final) con tipo, nombre, descripción y justificación.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Reglas de redacción, ortografía y normas de citas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errores ortográficos detectados; el proyecto no requiere citar fuentes externas.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 con el formato del informe establecido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Completamente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completaron todas las secciones de la plantilla entregada por la escuela.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 con los indicadores de calidad de las competencias</w:t>
            </w:r>
          </w:p>
        </w:tc>
        <w:tc>
          <w:tcPr>
            <w:tcW w:type="dxa" w:w="1500"/>
            <w:shd w:fill="FCF2D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/ 20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Faltan por verificar con el docente algunos indicadores de calidad que corresponden a etapas posteriores (pruebas e implantación), propias de la Fase 2.</w:t>
            </w:r>
          </w:p>
        </w:tc>
      </w:tr>
      <w:tr>
        <w:tc>
          <w:tcPr>
            <w:tcW w:type="dxa" w:w="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Abstract, conclusiones y reflexión en inglés</w:t>
            </w:r>
          </w:p>
        </w:tc>
        <w:tc>
          <w:tcPr>
            <w:tcW w:type="dxa" w:w="1500"/>
            <w:shd w:fill="FBE2D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Logrado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/ 10</w:t>
            </w:r>
          </w:p>
        </w:tc>
        <w:tc>
          <w:tcPr>
            <w:tcW w:type="dxa" w:w="38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Pendiente: solo se redactó la parte en español. Falta desarrollar el abstract en inglés, las conclusiones y la reflexión.</w:t>
            </w:r>
          </w:p>
        </w:tc>
      </w:tr>
      <w:tr>
        <w:tc>
          <w:tcPr>
            <w:tcW w:type="dxa" w:w="3100"/>
            <w:shd w:fill="E7E7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7E7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shd w:fill="E7E7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85 / 100</w:t>
            </w:r>
          </w:p>
        </w:tc>
        <w:tc>
          <w:tcPr>
            <w:tcW w:type="dxa" w:w="3850"/>
            <w:shd w:fill="E7E7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Aspectos a mejorar antes de la entrega sumativa: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Redactar el abstract (en inglés), las conclusiones individuales y la reflexión en inglés — actualmente solo están en español.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Revisar con el docente qué indicadores de calidad de las competencias corresponden a la Fase 1 y cuáles se evidenciarán recién en el desarrollo (Fase 2).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Hacer una lectura final de ortografía y redacción antes de la entrega sumativa.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2026-08-29T15:57:46.086Z</dcterms:created>
  <dcterms:modified xsi:type="dcterms:W3CDTF">2026-08-29T15:57:46.087Z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